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6C3A6" w14:textId="032C71A6" w:rsidR="000D6469" w:rsidRDefault="000D6469" w:rsidP="00115E01">
      <w:pPr>
        <w:spacing w:after="0" w:line="240" w:lineRule="auto"/>
        <w:rPr>
          <w:b/>
          <w:sz w:val="36"/>
          <w:szCs w:val="36"/>
        </w:rPr>
      </w:pPr>
      <w:r w:rsidRPr="000D6469">
        <w:rPr>
          <w:b/>
          <w:sz w:val="36"/>
          <w:szCs w:val="36"/>
        </w:rPr>
        <w:t>Earl</w:t>
      </w:r>
      <w:r w:rsidR="004258F0">
        <w:rPr>
          <w:b/>
          <w:sz w:val="36"/>
          <w:szCs w:val="36"/>
        </w:rPr>
        <w:t>y Help Offer – equality impact a</w:t>
      </w:r>
      <w:r w:rsidRPr="000D6469">
        <w:rPr>
          <w:b/>
          <w:sz w:val="36"/>
          <w:szCs w:val="36"/>
        </w:rPr>
        <w:t>ssessment</w:t>
      </w:r>
    </w:p>
    <w:p w14:paraId="0E7C1AAE" w14:textId="11EE82F6" w:rsidR="00115E01" w:rsidRPr="000D6469" w:rsidRDefault="004258F0">
      <w:pPr>
        <w:rPr>
          <w:b/>
          <w:sz w:val="36"/>
          <w:szCs w:val="36"/>
        </w:rPr>
      </w:pPr>
      <w:r>
        <w:rPr>
          <w:b/>
          <w:sz w:val="36"/>
          <w:szCs w:val="36"/>
        </w:rPr>
        <w:t>Additional i</w:t>
      </w:r>
      <w:r w:rsidR="00115E01">
        <w:rPr>
          <w:b/>
          <w:sz w:val="36"/>
          <w:szCs w:val="36"/>
        </w:rPr>
        <w:t>nformation</w:t>
      </w:r>
    </w:p>
    <w:p w14:paraId="16D6C3A7" w14:textId="77777777" w:rsidR="00DE18BC" w:rsidRPr="00DE18BC" w:rsidRDefault="00DE18BC">
      <w:pPr>
        <w:rPr>
          <w:b/>
          <w:sz w:val="32"/>
          <w:szCs w:val="32"/>
        </w:rPr>
      </w:pPr>
      <w:r w:rsidRPr="00DE18BC">
        <w:rPr>
          <w:b/>
          <w:sz w:val="32"/>
          <w:szCs w:val="32"/>
        </w:rPr>
        <w:t>Impact of the overall Early Help Offer</w:t>
      </w:r>
      <w:r>
        <w:rPr>
          <w:b/>
          <w:sz w:val="32"/>
          <w:szCs w:val="32"/>
        </w:rPr>
        <w:t xml:space="preserve"> on Kirklees residents</w:t>
      </w:r>
    </w:p>
    <w:tbl>
      <w:tblPr>
        <w:tblStyle w:val="TableGrid"/>
        <w:tblW w:w="14567" w:type="dxa"/>
        <w:tblLook w:val="04A0" w:firstRow="1" w:lastRow="0" w:firstColumn="1" w:lastColumn="0" w:noHBand="0" w:noVBand="1"/>
      </w:tblPr>
      <w:tblGrid>
        <w:gridCol w:w="2093"/>
        <w:gridCol w:w="7938"/>
        <w:gridCol w:w="4536"/>
      </w:tblGrid>
      <w:tr w:rsidR="00263523" w:rsidRPr="00263523" w14:paraId="16D6C3AB" w14:textId="77777777" w:rsidTr="00E025FD">
        <w:trPr>
          <w:tblHeader/>
        </w:trPr>
        <w:tc>
          <w:tcPr>
            <w:tcW w:w="2093" w:type="dxa"/>
          </w:tcPr>
          <w:p w14:paraId="16D6C3A8" w14:textId="77777777" w:rsidR="00E3657A" w:rsidRPr="00263523" w:rsidRDefault="00E3657A" w:rsidP="00E3657A">
            <w:pPr>
              <w:rPr>
                <w:b/>
              </w:rPr>
            </w:pPr>
            <w:r w:rsidRPr="00263523">
              <w:rPr>
                <w:b/>
              </w:rPr>
              <w:t xml:space="preserve">Element of the offer </w:t>
            </w:r>
          </w:p>
        </w:tc>
        <w:tc>
          <w:tcPr>
            <w:tcW w:w="7938" w:type="dxa"/>
          </w:tcPr>
          <w:p w14:paraId="16D6C3A9" w14:textId="357C09EF" w:rsidR="00E3657A" w:rsidRPr="00263523" w:rsidRDefault="00E3657A" w:rsidP="0038406C">
            <w:pPr>
              <w:rPr>
                <w:b/>
              </w:rPr>
            </w:pPr>
            <w:r w:rsidRPr="00263523">
              <w:rPr>
                <w:b/>
              </w:rPr>
              <w:t>Impact on groups of Kirklees residents</w:t>
            </w:r>
            <w:r w:rsidR="0038406C" w:rsidRPr="00263523">
              <w:rPr>
                <w:b/>
              </w:rPr>
              <w:t xml:space="preserve"> with protected characteristics</w:t>
            </w:r>
          </w:p>
        </w:tc>
        <w:tc>
          <w:tcPr>
            <w:tcW w:w="4536" w:type="dxa"/>
          </w:tcPr>
          <w:p w14:paraId="16D6C3AA" w14:textId="77777777" w:rsidR="00E3657A" w:rsidRPr="00263523" w:rsidRDefault="00E3657A" w:rsidP="00E3657A">
            <w:pPr>
              <w:rPr>
                <w:b/>
              </w:rPr>
            </w:pPr>
            <w:r w:rsidRPr="00263523">
              <w:rPr>
                <w:b/>
              </w:rPr>
              <w:t>Mitigation</w:t>
            </w:r>
          </w:p>
        </w:tc>
      </w:tr>
      <w:tr w:rsidR="00263523" w:rsidRPr="00263523" w14:paraId="16D6C3B0" w14:textId="77777777" w:rsidTr="00E025FD">
        <w:trPr>
          <w:trHeight w:val="503"/>
        </w:trPr>
        <w:tc>
          <w:tcPr>
            <w:tcW w:w="2093" w:type="dxa"/>
          </w:tcPr>
          <w:p w14:paraId="16D6C3AC" w14:textId="77777777" w:rsidR="001C7E8F" w:rsidRPr="00263523" w:rsidRDefault="001C7E8F" w:rsidP="001C7E8F">
            <w:pPr>
              <w:spacing w:after="120"/>
            </w:pPr>
            <w:r w:rsidRPr="00263523">
              <w:t>Complex</w:t>
            </w:r>
            <w:r w:rsidR="00FF762A" w:rsidRPr="00263523">
              <w:t xml:space="preserve"> and </w:t>
            </w:r>
            <w:r w:rsidR="00B00482" w:rsidRPr="00263523">
              <w:t>Targeted</w:t>
            </w:r>
          </w:p>
        </w:tc>
        <w:tc>
          <w:tcPr>
            <w:tcW w:w="7938" w:type="dxa"/>
          </w:tcPr>
          <w:p w14:paraId="16D6C3AD" w14:textId="77777777" w:rsidR="00FF762A" w:rsidRPr="00263523" w:rsidRDefault="001C7E8F" w:rsidP="00FF762A">
            <w:pPr>
              <w:rPr>
                <w:b/>
              </w:rPr>
            </w:pPr>
            <w:r w:rsidRPr="00263523">
              <w:rPr>
                <w:b/>
              </w:rPr>
              <w:t>Age</w:t>
            </w:r>
            <w:r w:rsidR="00FF762A" w:rsidRPr="00263523">
              <w:rPr>
                <w:b/>
              </w:rPr>
              <w:t>, Disability and Pregnancy and Maternity</w:t>
            </w:r>
          </w:p>
          <w:p w14:paraId="16D6C3AE" w14:textId="6E4405A7" w:rsidR="0072184A" w:rsidRPr="00263523" w:rsidRDefault="00600C6F" w:rsidP="0072184A">
            <w:pPr>
              <w:rPr>
                <w:b/>
              </w:rPr>
            </w:pPr>
            <w:r>
              <w:t>We anticipate that t</w:t>
            </w:r>
            <w:r w:rsidR="008B4C16" w:rsidRPr="00263523">
              <w:t xml:space="preserve">he Complex </w:t>
            </w:r>
            <w:r w:rsidR="003F15EC" w:rsidRPr="00263523">
              <w:t xml:space="preserve">and </w:t>
            </w:r>
            <w:r w:rsidR="00B00482" w:rsidRPr="00263523">
              <w:t>Targeted</w:t>
            </w:r>
            <w:r w:rsidR="003F15EC" w:rsidRPr="00263523">
              <w:t xml:space="preserve"> </w:t>
            </w:r>
            <w:r w:rsidR="008B4C16" w:rsidRPr="00263523">
              <w:t>level</w:t>
            </w:r>
            <w:r w:rsidR="003F15EC" w:rsidRPr="00263523">
              <w:t>s</w:t>
            </w:r>
            <w:r w:rsidR="008B4C16" w:rsidRPr="00263523">
              <w:t xml:space="preserve"> of the Early Help Offer will have a positive impact on those children, young people and their parents / carers</w:t>
            </w:r>
            <w:r w:rsidR="00FF762A" w:rsidRPr="00263523">
              <w:t>, pregnant women and mothers of young children, including those with disabilities,</w:t>
            </w:r>
            <w:r w:rsidR="008C0246" w:rsidRPr="00263523">
              <w:t xml:space="preserve"> </w:t>
            </w:r>
            <w:r w:rsidR="008B4C16" w:rsidRPr="00263523">
              <w:t>who require specialist or statutory assessment and/or intervention</w:t>
            </w:r>
            <w:r w:rsidR="00FF762A" w:rsidRPr="00263523">
              <w:t>, through the improvement of multi-agency working</w:t>
            </w:r>
            <w:r w:rsidR="003F15EC" w:rsidRPr="00263523">
              <w:t xml:space="preserve"> and the development of </w:t>
            </w:r>
            <w:r>
              <w:t xml:space="preserve">the </w:t>
            </w:r>
            <w:r w:rsidR="003F15EC" w:rsidRPr="00263523">
              <w:t>single key worker approach</w:t>
            </w:r>
            <w:r w:rsidR="00FF762A" w:rsidRPr="00263523">
              <w:t>.</w:t>
            </w:r>
            <w:r w:rsidR="0072184A">
              <w:t xml:space="preserve"> This was confirmed in our consultation, where 72% of respondents agreed with the Complex approach and 63% with the Targeted approach.</w:t>
            </w:r>
          </w:p>
        </w:tc>
        <w:tc>
          <w:tcPr>
            <w:tcW w:w="4536" w:type="dxa"/>
          </w:tcPr>
          <w:p w14:paraId="16D6C3AF" w14:textId="77777777" w:rsidR="001C7E8F" w:rsidRPr="00263523" w:rsidRDefault="008B4C16" w:rsidP="00E3657A">
            <w:pPr>
              <w:spacing w:after="120"/>
            </w:pPr>
            <w:r w:rsidRPr="00263523">
              <w:t>N/a</w:t>
            </w:r>
          </w:p>
        </w:tc>
      </w:tr>
      <w:tr w:rsidR="00263523" w:rsidRPr="00263523" w14:paraId="16D6C3B4" w14:textId="77777777" w:rsidTr="00E025FD">
        <w:tc>
          <w:tcPr>
            <w:tcW w:w="2093" w:type="dxa"/>
          </w:tcPr>
          <w:p w14:paraId="16D6C3B1" w14:textId="77777777" w:rsidR="001C7E8F" w:rsidRPr="00263523" w:rsidRDefault="001C7E8F" w:rsidP="00E3657A">
            <w:pPr>
              <w:spacing w:after="120"/>
            </w:pPr>
          </w:p>
        </w:tc>
        <w:tc>
          <w:tcPr>
            <w:tcW w:w="7938" w:type="dxa"/>
          </w:tcPr>
          <w:p w14:paraId="16D6C3B2" w14:textId="2484692A" w:rsidR="001C7E8F" w:rsidRPr="00263523" w:rsidRDefault="00FF762A" w:rsidP="008C0246">
            <w:r w:rsidRPr="00263523">
              <w:t xml:space="preserve">We do not foresee any impact on any of the other groups </w:t>
            </w:r>
            <w:r w:rsidR="008C0246" w:rsidRPr="00263523">
              <w:t>with protected characteristics.</w:t>
            </w:r>
          </w:p>
        </w:tc>
        <w:tc>
          <w:tcPr>
            <w:tcW w:w="4536" w:type="dxa"/>
          </w:tcPr>
          <w:p w14:paraId="16D6C3B3" w14:textId="77777777" w:rsidR="001C7E8F" w:rsidRPr="00263523" w:rsidRDefault="00095697" w:rsidP="00E3657A">
            <w:pPr>
              <w:spacing w:after="120"/>
            </w:pPr>
            <w:r w:rsidRPr="00263523">
              <w:t>N/a</w:t>
            </w:r>
          </w:p>
        </w:tc>
      </w:tr>
      <w:tr w:rsidR="00263523" w:rsidRPr="00263523" w14:paraId="16D6C3B9" w14:textId="77777777" w:rsidTr="00E025FD">
        <w:tc>
          <w:tcPr>
            <w:tcW w:w="2093" w:type="dxa"/>
          </w:tcPr>
          <w:p w14:paraId="16D6C3B5" w14:textId="77777777" w:rsidR="001C7E8F" w:rsidRPr="00263523" w:rsidRDefault="001C7E8F" w:rsidP="00095697">
            <w:pPr>
              <w:spacing w:after="120"/>
            </w:pPr>
            <w:r w:rsidRPr="00263523">
              <w:t>Community Plus</w:t>
            </w:r>
          </w:p>
        </w:tc>
        <w:tc>
          <w:tcPr>
            <w:tcW w:w="7938" w:type="dxa"/>
          </w:tcPr>
          <w:p w14:paraId="16D6C3B6" w14:textId="77777777" w:rsidR="001C7E8F" w:rsidRPr="003A114D" w:rsidRDefault="001C7E8F" w:rsidP="00095697">
            <w:pPr>
              <w:rPr>
                <w:b/>
              </w:rPr>
            </w:pPr>
            <w:r w:rsidRPr="003A114D">
              <w:rPr>
                <w:b/>
              </w:rPr>
              <w:t>Age</w:t>
            </w:r>
            <w:r w:rsidR="00FF762A" w:rsidRPr="003A114D">
              <w:rPr>
                <w:b/>
              </w:rPr>
              <w:t xml:space="preserve"> </w:t>
            </w:r>
          </w:p>
          <w:p w14:paraId="738056B6" w14:textId="77777777" w:rsidR="00CE2DB8" w:rsidRDefault="00CE2DB8" w:rsidP="00600C6F">
            <w:r w:rsidRPr="003A114D">
              <w:t>Children, young people and their parents / carers</w:t>
            </w:r>
            <w:r w:rsidR="008C0246" w:rsidRPr="003A114D">
              <w:t xml:space="preserve"> </w:t>
            </w:r>
            <w:r w:rsidRPr="003A114D">
              <w:t xml:space="preserve">not identified as being in need of support </w:t>
            </w:r>
            <w:r w:rsidR="00600C6F">
              <w:t>will</w:t>
            </w:r>
            <w:r w:rsidRPr="003A114D">
              <w:t xml:space="preserve"> no longer be able to use open access services provided by the Council. </w:t>
            </w:r>
            <w:r w:rsidR="0072184A">
              <w:t>In our consultation 45% of respondents agreed with the Community Plus approach, and 21% disagreed; 34% neither agreed nor disagreed (see p5 of the consultation report).</w:t>
            </w:r>
          </w:p>
          <w:p w14:paraId="1D8B7483" w14:textId="77777777" w:rsidR="0053377D" w:rsidRDefault="0053377D" w:rsidP="00600C6F"/>
          <w:p w14:paraId="16D6C3B7" w14:textId="31189C4F" w:rsidR="0053377D" w:rsidRPr="003A114D" w:rsidRDefault="0053377D" w:rsidP="0053377D">
            <w:r>
              <w:t xml:space="preserve">We do not anticipate that the </w:t>
            </w:r>
            <w:r w:rsidR="00F840BC">
              <w:t>proposed</w:t>
            </w:r>
            <w:r>
              <w:t xml:space="preserve"> change to the way in which the Duke of Edinburgh’s Award / Adventurous Activities programme is funded will impact on any </w:t>
            </w:r>
            <w:r w:rsidRPr="0053377D">
              <w:t>groups with protected characteristics.</w:t>
            </w:r>
          </w:p>
        </w:tc>
        <w:tc>
          <w:tcPr>
            <w:tcW w:w="4536" w:type="dxa"/>
          </w:tcPr>
          <w:p w14:paraId="16D6C3B8" w14:textId="77777777" w:rsidR="001C7E8F" w:rsidRPr="003A114D" w:rsidRDefault="00CE2DB8" w:rsidP="00095697">
            <w:pPr>
              <w:spacing w:after="120"/>
            </w:pPr>
            <w:r w:rsidRPr="003A114D">
              <w:t>Other services may be provided by partners or the voluntary sector.</w:t>
            </w:r>
          </w:p>
        </w:tc>
      </w:tr>
      <w:tr w:rsidR="00263523" w:rsidRPr="00263523" w14:paraId="16D6C3BE" w14:textId="77777777" w:rsidTr="00E025FD">
        <w:tc>
          <w:tcPr>
            <w:tcW w:w="2093" w:type="dxa"/>
          </w:tcPr>
          <w:p w14:paraId="16D6C3BA" w14:textId="77777777" w:rsidR="00CE2DB8" w:rsidRPr="00263523" w:rsidRDefault="00CE2DB8" w:rsidP="00095697">
            <w:pPr>
              <w:spacing w:after="120"/>
              <w:rPr>
                <w:color w:val="215868" w:themeColor="accent5" w:themeShade="80"/>
              </w:rPr>
            </w:pPr>
          </w:p>
        </w:tc>
        <w:tc>
          <w:tcPr>
            <w:tcW w:w="7938" w:type="dxa"/>
          </w:tcPr>
          <w:p w14:paraId="16D6C3BB" w14:textId="77777777" w:rsidR="00CE2DB8" w:rsidRPr="003A114D" w:rsidRDefault="00CE2DB8" w:rsidP="00095697">
            <w:pPr>
              <w:rPr>
                <w:b/>
              </w:rPr>
            </w:pPr>
            <w:r w:rsidRPr="003A114D">
              <w:rPr>
                <w:b/>
              </w:rPr>
              <w:t>Pregnancy and Maternity</w:t>
            </w:r>
          </w:p>
          <w:p w14:paraId="16D6C3BC" w14:textId="294FB0A3" w:rsidR="00CE2DB8" w:rsidRPr="003A114D" w:rsidRDefault="00CE2DB8" w:rsidP="00095697">
            <w:pPr>
              <w:rPr>
                <w:b/>
              </w:rPr>
            </w:pPr>
            <w:r w:rsidRPr="003A114D">
              <w:t>Pregnant women and mothers of young children</w:t>
            </w:r>
            <w:r w:rsidR="008C0246" w:rsidRPr="003A114D">
              <w:t xml:space="preserve"> </w:t>
            </w:r>
            <w:r w:rsidRPr="003A114D">
              <w:t xml:space="preserve">not identified as being in need of support </w:t>
            </w:r>
            <w:r w:rsidR="00600C6F">
              <w:t>will</w:t>
            </w:r>
            <w:r w:rsidR="00600C6F" w:rsidRPr="003A114D">
              <w:t xml:space="preserve"> </w:t>
            </w:r>
            <w:r w:rsidRPr="003A114D">
              <w:t>no longer be able to use open access services provided by the Council</w:t>
            </w:r>
          </w:p>
        </w:tc>
        <w:tc>
          <w:tcPr>
            <w:tcW w:w="4536" w:type="dxa"/>
          </w:tcPr>
          <w:p w14:paraId="16D6C3BD" w14:textId="77777777" w:rsidR="00CE2DB8" w:rsidRPr="003A114D" w:rsidRDefault="00CE2DB8" w:rsidP="00095697">
            <w:pPr>
              <w:spacing w:after="120"/>
            </w:pPr>
            <w:r w:rsidRPr="003A114D">
              <w:t>Other services may be provided by partners or the voluntary sector.</w:t>
            </w:r>
          </w:p>
        </w:tc>
      </w:tr>
      <w:tr w:rsidR="00263523" w:rsidRPr="00263523" w14:paraId="16D6C3C3" w14:textId="77777777" w:rsidTr="00E025FD">
        <w:tc>
          <w:tcPr>
            <w:tcW w:w="2093" w:type="dxa"/>
          </w:tcPr>
          <w:p w14:paraId="16D6C3BF" w14:textId="5AD79622" w:rsidR="00076BA8" w:rsidRPr="00263523" w:rsidRDefault="00076BA8" w:rsidP="00095697">
            <w:pPr>
              <w:spacing w:after="120"/>
              <w:rPr>
                <w:color w:val="215868" w:themeColor="accent5" w:themeShade="80"/>
              </w:rPr>
            </w:pPr>
          </w:p>
        </w:tc>
        <w:tc>
          <w:tcPr>
            <w:tcW w:w="7938" w:type="dxa"/>
          </w:tcPr>
          <w:p w14:paraId="16D6C3C0" w14:textId="76CF0438" w:rsidR="00076BA8" w:rsidRPr="003A114D" w:rsidRDefault="00076BA8" w:rsidP="0038406C">
            <w:pPr>
              <w:rPr>
                <w:b/>
              </w:rPr>
            </w:pPr>
            <w:r w:rsidRPr="003A114D">
              <w:rPr>
                <w:b/>
              </w:rPr>
              <w:t xml:space="preserve">All </w:t>
            </w:r>
            <w:r w:rsidR="0038406C" w:rsidRPr="003A114D">
              <w:rPr>
                <w:b/>
              </w:rPr>
              <w:t xml:space="preserve">groups with </w:t>
            </w:r>
            <w:r w:rsidRPr="003A114D">
              <w:rPr>
                <w:b/>
              </w:rPr>
              <w:t xml:space="preserve">protected </w:t>
            </w:r>
            <w:r w:rsidR="0038406C" w:rsidRPr="003A114D">
              <w:rPr>
                <w:b/>
              </w:rPr>
              <w:t>characteristics</w:t>
            </w:r>
          </w:p>
          <w:p w14:paraId="691BB583" w14:textId="77777777" w:rsidR="00076BA8" w:rsidRPr="003A114D" w:rsidRDefault="00076BA8" w:rsidP="00076BA8">
            <w:r w:rsidRPr="003A114D">
              <w:t xml:space="preserve">It is possible that the increased role played by community run services might have a greater impact on </w:t>
            </w:r>
            <w:r w:rsidR="0038406C" w:rsidRPr="003A114D">
              <w:t>groups with protected characteristics</w:t>
            </w:r>
            <w:r w:rsidRPr="003A114D">
              <w:t xml:space="preserve"> if volunteers lack suitable training and supervision. </w:t>
            </w:r>
          </w:p>
          <w:p w14:paraId="670F4BB6" w14:textId="77777777" w:rsidR="00061550" w:rsidRPr="003A114D" w:rsidRDefault="00061550" w:rsidP="00076BA8"/>
          <w:p w14:paraId="50D87F40" w14:textId="578403F1" w:rsidR="00061550" w:rsidRPr="003A114D" w:rsidRDefault="00263523" w:rsidP="00061550">
            <w:pPr>
              <w:rPr>
                <w:rFonts w:eastAsia="Calibri"/>
                <w:iCs/>
              </w:rPr>
            </w:pPr>
            <w:r w:rsidRPr="003A114D">
              <w:rPr>
                <w:rFonts w:eastAsia="Calibri"/>
                <w:iCs/>
              </w:rPr>
              <w:t xml:space="preserve">In the consultation we carried out, </w:t>
            </w:r>
            <w:r w:rsidR="00061550" w:rsidRPr="003A114D">
              <w:rPr>
                <w:rFonts w:eastAsia="Calibri"/>
                <w:iCs/>
              </w:rPr>
              <w:t>p</w:t>
            </w:r>
            <w:r w:rsidR="00061550" w:rsidRPr="003A114D">
              <w:rPr>
                <w:rFonts w:eastAsia="Calibri"/>
              </w:rPr>
              <w:t xml:space="preserve">arents of children with disabilities/additional </w:t>
            </w:r>
            <w:r w:rsidR="00061550" w:rsidRPr="003A114D">
              <w:rPr>
                <w:rFonts w:eastAsia="Calibri"/>
              </w:rPr>
              <w:lastRenderedPageBreak/>
              <w:t xml:space="preserve">needs were significantly more likely than other parents to disagree with the statement ‘community volunteers within early help services are a good idea, so long as they are supported by trained professionals’ </w:t>
            </w:r>
            <w:r w:rsidR="00061550" w:rsidRPr="003A114D">
              <w:rPr>
                <w:rFonts w:eastAsia="Calibri"/>
                <w:iCs/>
              </w:rPr>
              <w:t>(see p31 of consultation report).</w:t>
            </w:r>
          </w:p>
          <w:p w14:paraId="1C9696F0" w14:textId="77777777" w:rsidR="00061550" w:rsidRPr="003A114D" w:rsidRDefault="00061550" w:rsidP="00061550">
            <w:pPr>
              <w:rPr>
                <w:rFonts w:eastAsia="Calibri"/>
                <w:iCs/>
              </w:rPr>
            </w:pPr>
          </w:p>
          <w:p w14:paraId="16D6C3C1" w14:textId="2B9EA596" w:rsidR="00061550" w:rsidRPr="003A114D" w:rsidRDefault="00061550" w:rsidP="00263523"/>
        </w:tc>
        <w:tc>
          <w:tcPr>
            <w:tcW w:w="4536" w:type="dxa"/>
          </w:tcPr>
          <w:p w14:paraId="2E639659" w14:textId="712D4ADC" w:rsidR="00076BA8" w:rsidRPr="003A114D" w:rsidRDefault="00076BA8" w:rsidP="00076BA8">
            <w:r w:rsidRPr="003A114D">
              <w:lastRenderedPageBreak/>
              <w:t>We will invest resources, buildings and/or staff time in supporting community groups to build their capacity to meet these needs.</w:t>
            </w:r>
            <w:r w:rsidR="0053377D">
              <w:t xml:space="preserve"> The proposed Community Co-ordinators will lead on this work.</w:t>
            </w:r>
          </w:p>
          <w:p w14:paraId="3EF949C2" w14:textId="77777777" w:rsidR="00263523" w:rsidRPr="003A114D" w:rsidRDefault="00263523" w:rsidP="00263523">
            <w:pPr>
              <w:rPr>
                <w:rFonts w:eastAsia="Calibri"/>
                <w:iCs/>
              </w:rPr>
            </w:pPr>
          </w:p>
          <w:p w14:paraId="3D8BB0DE" w14:textId="18D1AD7D" w:rsidR="00263523" w:rsidRPr="003A114D" w:rsidRDefault="00263523" w:rsidP="00263523">
            <w:pPr>
              <w:rPr>
                <w:rFonts w:eastAsia="Calibri"/>
                <w:iCs/>
              </w:rPr>
            </w:pPr>
            <w:r w:rsidRPr="003A114D">
              <w:rPr>
                <w:rFonts w:eastAsia="Calibri"/>
                <w:iCs/>
              </w:rPr>
              <w:lastRenderedPageBreak/>
              <w:t>We are developing a comprehensive guide to Quality Volunteer Management including IT systems that will quality assure this process, and training for any staff working with volunteers. The Quality Volunteer Management</w:t>
            </w:r>
            <w:r w:rsidRPr="003A114D">
              <w:rPr>
                <w:rFonts w:eastAsia="Calibri"/>
              </w:rPr>
              <w:t xml:space="preserve"> model is designed from start to finish to enable volunteers to be properly inducted and fully supported to focus on the outcomes they are helping to achieve</w:t>
            </w:r>
            <w:r w:rsidRPr="003A114D">
              <w:rPr>
                <w:rFonts w:eastAsia="Calibri"/>
                <w:iCs/>
              </w:rPr>
              <w:t>.</w:t>
            </w:r>
          </w:p>
          <w:p w14:paraId="16D6C3C2" w14:textId="77777777" w:rsidR="00263523" w:rsidRPr="003A114D" w:rsidRDefault="00263523" w:rsidP="00076BA8"/>
        </w:tc>
      </w:tr>
      <w:tr w:rsidR="00263523" w:rsidRPr="00263523" w14:paraId="16D6C3C8" w14:textId="77777777" w:rsidTr="00E025FD">
        <w:tc>
          <w:tcPr>
            <w:tcW w:w="2093" w:type="dxa"/>
          </w:tcPr>
          <w:p w14:paraId="16D6C3C4" w14:textId="77777777" w:rsidR="00074184" w:rsidRPr="00263523" w:rsidRDefault="00074184" w:rsidP="00095697">
            <w:pPr>
              <w:spacing w:after="120"/>
              <w:rPr>
                <w:color w:val="215868" w:themeColor="accent5" w:themeShade="80"/>
              </w:rPr>
            </w:pPr>
          </w:p>
        </w:tc>
        <w:tc>
          <w:tcPr>
            <w:tcW w:w="7938" w:type="dxa"/>
          </w:tcPr>
          <w:p w14:paraId="16D6C3C5" w14:textId="77777777" w:rsidR="00866D1E" w:rsidRPr="008E7F2B" w:rsidRDefault="00074184" w:rsidP="00095697">
            <w:pPr>
              <w:rPr>
                <w:b/>
              </w:rPr>
            </w:pPr>
            <w:r w:rsidRPr="008E7F2B">
              <w:rPr>
                <w:b/>
              </w:rPr>
              <w:t>Impact on fostering good relations</w:t>
            </w:r>
          </w:p>
          <w:p w14:paraId="5E442E56" w14:textId="15022B8A" w:rsidR="00074184" w:rsidRPr="008E7F2B" w:rsidRDefault="00866D1E" w:rsidP="00866D1E">
            <w:r w:rsidRPr="008E7F2B">
              <w:t>Youth Centres currently offer open access services for young people from a range of different backgrounds. Childre</w:t>
            </w:r>
            <w:r w:rsidR="00263523" w:rsidRPr="008E7F2B">
              <w:t xml:space="preserve">n’s Centres also offer </w:t>
            </w:r>
            <w:r w:rsidR="003A114D" w:rsidRPr="008E7F2B">
              <w:t>“</w:t>
            </w:r>
            <w:r w:rsidR="00074184" w:rsidRPr="008E7F2B">
              <w:t>stay and play</w:t>
            </w:r>
            <w:r w:rsidR="003A114D" w:rsidRPr="008E7F2B">
              <w:t>”</w:t>
            </w:r>
            <w:r w:rsidRPr="008E7F2B">
              <w:t>, which offers social opportunities for parents and young children. Both types of activity bring together people from different backgrounds, and people who share certain protected characteristics, and those who do not. It is therefore possible that the loss of these services could impact on the Council’s ability to foster good relations between people.</w:t>
            </w:r>
          </w:p>
          <w:p w14:paraId="78B26F55" w14:textId="77777777" w:rsidR="00061550" w:rsidRPr="008E7F2B" w:rsidRDefault="00061550" w:rsidP="00866D1E"/>
          <w:p w14:paraId="16DE20B4" w14:textId="77777777" w:rsidR="003A114D" w:rsidRPr="008E7F2B" w:rsidRDefault="003A114D" w:rsidP="00061550">
            <w:pPr>
              <w:rPr>
                <w:rFonts w:eastAsia="Calibri"/>
                <w:iCs/>
              </w:rPr>
            </w:pPr>
            <w:r w:rsidRPr="008E7F2B">
              <w:rPr>
                <w:rFonts w:eastAsia="Calibri"/>
                <w:iCs/>
              </w:rPr>
              <w:t xml:space="preserve">This was confirmed in the consultation. </w:t>
            </w:r>
            <w:r w:rsidR="00061550" w:rsidRPr="008E7F2B">
              <w:rPr>
                <w:rFonts w:eastAsia="Calibri"/>
                <w:iCs/>
              </w:rPr>
              <w:t>For example,</w:t>
            </w:r>
            <w:r w:rsidR="00061550" w:rsidRPr="008E7F2B">
              <w:t xml:space="preserve"> </w:t>
            </w:r>
            <w:r w:rsidR="00061550" w:rsidRPr="008E7F2B">
              <w:rPr>
                <w:rFonts w:eastAsia="Calibri"/>
                <w:iCs/>
              </w:rPr>
              <w:t>t</w:t>
            </w:r>
            <w:r w:rsidR="00061550" w:rsidRPr="008E7F2B">
              <w:rPr>
                <w:rFonts w:eastAsia="Calibri"/>
              </w:rPr>
              <w:t xml:space="preserve">here was a view that </w:t>
            </w:r>
            <w:r w:rsidR="00061550" w:rsidRPr="008E7F2B">
              <w:rPr>
                <w:rFonts w:eastAsia="Calibri"/>
                <w:iCs/>
              </w:rPr>
              <w:t>“</w:t>
            </w:r>
            <w:r w:rsidR="00061550" w:rsidRPr="008E7F2B">
              <w:rPr>
                <w:rFonts w:eastAsia="Calibri"/>
              </w:rPr>
              <w:t>Children’s Centres played an important role within the community by providing a focal point where parents from different communities cou</w:t>
            </w:r>
            <w:r w:rsidR="00061550" w:rsidRPr="008E7F2B">
              <w:rPr>
                <w:rFonts w:eastAsia="Calibri"/>
                <w:iCs/>
              </w:rPr>
              <w:t>ld meet and develop connections,” (p37 of consultation report)</w:t>
            </w:r>
            <w:r w:rsidR="00061550" w:rsidRPr="008E7F2B">
              <w:rPr>
                <w:rFonts w:eastAsia="Calibri"/>
              </w:rPr>
              <w:t>.</w:t>
            </w:r>
            <w:r w:rsidR="00061550" w:rsidRPr="008E7F2B">
              <w:rPr>
                <w:rFonts w:eastAsia="Calibri"/>
                <w:iCs/>
              </w:rPr>
              <w:t xml:space="preserve"> </w:t>
            </w:r>
          </w:p>
          <w:p w14:paraId="245C4619" w14:textId="77777777" w:rsidR="00C24773" w:rsidRPr="008E7F2B" w:rsidRDefault="00C24773" w:rsidP="00061550">
            <w:pPr>
              <w:rPr>
                <w:rFonts w:eastAsia="Calibri"/>
                <w:iCs/>
              </w:rPr>
            </w:pPr>
          </w:p>
          <w:p w14:paraId="2B3F326B" w14:textId="6619A07C" w:rsidR="00C24773" w:rsidRPr="008E7F2B" w:rsidRDefault="00C24773" w:rsidP="00061550">
            <w:pPr>
              <w:rPr>
                <w:rFonts w:eastAsia="Calibri"/>
                <w:iCs/>
              </w:rPr>
            </w:pPr>
            <w:r w:rsidRPr="008E7F2B">
              <w:rPr>
                <w:rFonts w:eastAsia="Calibri"/>
                <w:iCs/>
              </w:rPr>
              <w:t>The report also noted that “</w:t>
            </w:r>
            <w:r w:rsidRPr="008E7F2B">
              <w:rPr>
                <w:rFonts w:eastAsia="Calibri"/>
              </w:rPr>
              <w:t>community segregation due to culture or race does not exist for…young people attending clubs and they rely on the social aspect to retain these unique friendships and also make new ones</w:t>
            </w:r>
            <w:r w:rsidRPr="008E7F2B">
              <w:rPr>
                <w:rFonts w:eastAsia="Calibri"/>
                <w:iCs/>
              </w:rPr>
              <w:t>” (p47).</w:t>
            </w:r>
          </w:p>
          <w:p w14:paraId="16D6C3C6" w14:textId="21F7463D" w:rsidR="00061550" w:rsidRPr="008E7F2B" w:rsidRDefault="00061550" w:rsidP="008E7F2B">
            <w:pPr>
              <w:rPr>
                <w:rFonts w:eastAsia="Calibri"/>
                <w:iCs/>
              </w:rPr>
            </w:pPr>
          </w:p>
        </w:tc>
        <w:tc>
          <w:tcPr>
            <w:tcW w:w="4536" w:type="dxa"/>
          </w:tcPr>
          <w:p w14:paraId="16D6C3C7" w14:textId="352CB232" w:rsidR="00074184" w:rsidRPr="008E7F2B" w:rsidRDefault="00866D1E" w:rsidP="008E7F2B">
            <w:pPr>
              <w:spacing w:after="120"/>
            </w:pPr>
            <w:r w:rsidRPr="008E7F2B">
              <w:t>Other services may be provided by partners or the voluntary sector. We will endeavour to ensure partners and communities provide activities with a focus on diversity and on fostering good relations</w:t>
            </w:r>
            <w:r w:rsidR="008E7F2B" w:rsidRPr="008E7F2B">
              <w:t>.</w:t>
            </w:r>
            <w:r w:rsidR="00565ED2">
              <w:t xml:space="preserve"> This will be supported by the work of the proposed Community Co-ordinators.</w:t>
            </w:r>
          </w:p>
        </w:tc>
      </w:tr>
      <w:tr w:rsidR="00C24773" w:rsidRPr="00263523" w14:paraId="10B50B62" w14:textId="77777777" w:rsidTr="00E025FD">
        <w:tc>
          <w:tcPr>
            <w:tcW w:w="2093" w:type="dxa"/>
          </w:tcPr>
          <w:p w14:paraId="44B8168A" w14:textId="77777777" w:rsidR="00C24773" w:rsidRPr="00263523" w:rsidRDefault="00C24773" w:rsidP="00095697">
            <w:pPr>
              <w:spacing w:after="120"/>
              <w:rPr>
                <w:color w:val="215868" w:themeColor="accent5" w:themeShade="80"/>
              </w:rPr>
            </w:pPr>
          </w:p>
        </w:tc>
        <w:tc>
          <w:tcPr>
            <w:tcW w:w="7938" w:type="dxa"/>
          </w:tcPr>
          <w:p w14:paraId="0EEA928A" w14:textId="77777777" w:rsidR="00C24773" w:rsidRPr="009737AE" w:rsidRDefault="00C24773" w:rsidP="00C24773">
            <w:pPr>
              <w:rPr>
                <w:rFonts w:eastAsia="Calibri"/>
                <w:iCs/>
              </w:rPr>
            </w:pPr>
            <w:r w:rsidRPr="009737AE">
              <w:rPr>
                <w:rFonts w:eastAsia="Calibri"/>
                <w:iCs/>
              </w:rPr>
              <w:t>As part of the consultation a focus group was held with Yorkshire Mixtures (young LGBT group). The members</w:t>
            </w:r>
            <w:r w:rsidRPr="009737AE">
              <w:rPr>
                <w:rFonts w:eastAsia="Calibri"/>
              </w:rPr>
              <w:t xml:space="preserve"> felt that without the group, they would not have access to </w:t>
            </w:r>
            <w:r w:rsidRPr="009737AE">
              <w:rPr>
                <w:rFonts w:eastAsia="Calibri"/>
                <w:iCs/>
              </w:rPr>
              <w:t>…</w:t>
            </w:r>
            <w:r w:rsidRPr="009737AE">
              <w:rPr>
                <w:rFonts w:eastAsia="Calibri"/>
              </w:rPr>
              <w:t xml:space="preserve">appropriate </w:t>
            </w:r>
            <w:r w:rsidRPr="009737AE">
              <w:rPr>
                <w:rFonts w:eastAsia="Calibri"/>
                <w:iCs/>
              </w:rPr>
              <w:t xml:space="preserve">and timely support,(p47-48 of consultation report). This included a safe environment to be themselves that isn’t school, college or related extra-curricular activities but with other people in similar situations (hold hands with partners, dress to suit how they feel inside); enabling young people to understand more about what it means to be LGBTQ; assisting in the ‘coming out’ process, not just in telling </w:t>
            </w:r>
            <w:r w:rsidRPr="009737AE">
              <w:rPr>
                <w:rFonts w:eastAsia="Calibri"/>
                <w:iCs/>
              </w:rPr>
              <w:lastRenderedPageBreak/>
              <w:t>friends/family members, but coming to terms with being LGBTQ themselves; building confidence in being themselves again after traumatic events; learning more about the LGBTQ community, information you aren’t taught at school.</w:t>
            </w:r>
          </w:p>
          <w:p w14:paraId="65458AC4" w14:textId="77777777" w:rsidR="00C24773" w:rsidRDefault="00C24773" w:rsidP="00C24773">
            <w:pPr>
              <w:rPr>
                <w:rFonts w:eastAsia="Calibri"/>
                <w:iCs/>
                <w:color w:val="215868" w:themeColor="accent5" w:themeShade="80"/>
              </w:rPr>
            </w:pPr>
          </w:p>
        </w:tc>
        <w:tc>
          <w:tcPr>
            <w:tcW w:w="4536" w:type="dxa"/>
          </w:tcPr>
          <w:p w14:paraId="37E96ADA" w14:textId="2175B2E5" w:rsidR="00C24773" w:rsidRPr="00263523" w:rsidRDefault="009737AE" w:rsidP="00645A55">
            <w:pPr>
              <w:spacing w:after="120"/>
              <w:rPr>
                <w:color w:val="215868" w:themeColor="accent5" w:themeShade="80"/>
              </w:rPr>
            </w:pPr>
            <w:r w:rsidRPr="008E7F2B">
              <w:lastRenderedPageBreak/>
              <w:t xml:space="preserve">Other services may be provided by partners or the voluntary sector. We will endeavour to ensure partners and communities provide activities with a focus on </w:t>
            </w:r>
            <w:r>
              <w:t>the specific needs of LGBT young people</w:t>
            </w:r>
            <w:r w:rsidRPr="008E7F2B">
              <w:t>.</w:t>
            </w:r>
            <w:r w:rsidR="00645A55">
              <w:t xml:space="preserve"> T</w:t>
            </w:r>
            <w:r w:rsidR="009971E7">
              <w:t>he Council will ensure that Yorkshire Mixtures continues until March 2018</w:t>
            </w:r>
            <w:r w:rsidR="00645A55">
              <w:t xml:space="preserve">, as part of the proposed intervention for group </w:t>
            </w:r>
            <w:r w:rsidR="00645A55">
              <w:lastRenderedPageBreak/>
              <w:t xml:space="preserve">work for vulnerable groups. This in intended to ensure that </w:t>
            </w:r>
            <w:r w:rsidR="00C0506B">
              <w:t xml:space="preserve">the </w:t>
            </w:r>
            <w:r w:rsidR="009971E7">
              <w:t xml:space="preserve">Community Plus </w:t>
            </w:r>
            <w:r w:rsidR="00C0506B">
              <w:t xml:space="preserve">approach can continue to meet their needs </w:t>
            </w:r>
            <w:r w:rsidR="009971E7">
              <w:t>in future.</w:t>
            </w:r>
          </w:p>
        </w:tc>
      </w:tr>
      <w:tr w:rsidR="00565ED2" w:rsidRPr="00263523" w14:paraId="43B54294" w14:textId="77777777" w:rsidTr="00E025FD">
        <w:tc>
          <w:tcPr>
            <w:tcW w:w="2093" w:type="dxa"/>
          </w:tcPr>
          <w:p w14:paraId="40A74BA9" w14:textId="1BC7FDF0" w:rsidR="00565ED2" w:rsidRPr="00263523" w:rsidRDefault="00565ED2" w:rsidP="00095697">
            <w:pPr>
              <w:spacing w:after="120"/>
              <w:rPr>
                <w:color w:val="215868" w:themeColor="accent5" w:themeShade="80"/>
              </w:rPr>
            </w:pPr>
            <w:r w:rsidRPr="00565ED2">
              <w:rPr>
                <w:rFonts w:eastAsia="Calibri"/>
                <w:iCs/>
              </w:rPr>
              <w:lastRenderedPageBreak/>
              <w:t>Other</w:t>
            </w:r>
          </w:p>
        </w:tc>
        <w:tc>
          <w:tcPr>
            <w:tcW w:w="7938" w:type="dxa"/>
          </w:tcPr>
          <w:p w14:paraId="6D0E7419" w14:textId="007FC639" w:rsidR="00565ED2" w:rsidRPr="009737AE" w:rsidRDefault="00565ED2" w:rsidP="00565ED2">
            <w:pPr>
              <w:rPr>
                <w:rFonts w:eastAsia="Calibri"/>
                <w:iCs/>
              </w:rPr>
            </w:pPr>
            <w:r>
              <w:rPr>
                <w:rFonts w:eastAsia="Calibri"/>
                <w:iCs/>
              </w:rPr>
              <w:t xml:space="preserve">As part of the introduction of the Early Help Offer, a number of organisations will cease to be able to access </w:t>
            </w:r>
            <w:r w:rsidR="001A5B9C">
              <w:rPr>
                <w:rFonts w:eastAsia="Calibri"/>
                <w:iCs/>
              </w:rPr>
              <w:t xml:space="preserve">Council </w:t>
            </w:r>
            <w:r>
              <w:rPr>
                <w:rFonts w:eastAsia="Calibri"/>
                <w:iCs/>
              </w:rPr>
              <w:t>grant funding in the future. This will affect those organisations’ ability to provide activities for c</w:t>
            </w:r>
            <w:r w:rsidRPr="00565ED2">
              <w:rPr>
                <w:rFonts w:eastAsia="Calibri"/>
                <w:iCs/>
              </w:rPr>
              <w:t xml:space="preserve">hildren and </w:t>
            </w:r>
            <w:r>
              <w:rPr>
                <w:rFonts w:eastAsia="Calibri"/>
                <w:iCs/>
              </w:rPr>
              <w:t>young people, especially those</w:t>
            </w:r>
            <w:r w:rsidRPr="00565ED2">
              <w:rPr>
                <w:rFonts w:eastAsia="Calibri"/>
                <w:iCs/>
              </w:rPr>
              <w:t xml:space="preserve"> with additional needs &amp; disabilities</w:t>
            </w:r>
            <w:r>
              <w:rPr>
                <w:rFonts w:eastAsia="Calibri"/>
                <w:iCs/>
              </w:rPr>
              <w:t>.</w:t>
            </w:r>
            <w:bookmarkStart w:id="0" w:name="_GoBack"/>
            <w:bookmarkEnd w:id="0"/>
          </w:p>
        </w:tc>
        <w:tc>
          <w:tcPr>
            <w:tcW w:w="4536" w:type="dxa"/>
          </w:tcPr>
          <w:p w14:paraId="5E88DDE3" w14:textId="7DBAA8B2" w:rsidR="00565ED2" w:rsidRPr="008E7F2B" w:rsidRDefault="00565ED2" w:rsidP="00645A55">
            <w:pPr>
              <w:spacing w:after="120"/>
            </w:pPr>
            <w:r w:rsidRPr="008E7F2B">
              <w:t>Other services may be provided by partners or the voluntary sector</w:t>
            </w:r>
            <w:r>
              <w:t>.</w:t>
            </w:r>
            <w:r w:rsidR="009C6042">
              <w:t xml:space="preserve"> </w:t>
            </w:r>
            <w:r w:rsidR="009C6042" w:rsidRPr="009C6042">
              <w:t>Support will be available via the Community Plus offer to help voluntary organisations access alternative sources of funding.</w:t>
            </w:r>
          </w:p>
        </w:tc>
      </w:tr>
    </w:tbl>
    <w:p w14:paraId="16D6C3CA" w14:textId="0C2220E4" w:rsidR="00DE18BC" w:rsidRDefault="00DE18BC" w:rsidP="00866D1E">
      <w:pPr>
        <w:spacing w:before="480"/>
        <w:rPr>
          <w:b/>
          <w:sz w:val="32"/>
          <w:szCs w:val="32"/>
        </w:rPr>
      </w:pPr>
      <w:r w:rsidRPr="00DE18BC">
        <w:rPr>
          <w:b/>
          <w:sz w:val="32"/>
          <w:szCs w:val="32"/>
        </w:rPr>
        <w:t xml:space="preserve">Impact of changes to </w:t>
      </w:r>
      <w:r w:rsidR="00095697">
        <w:rPr>
          <w:b/>
          <w:sz w:val="32"/>
          <w:szCs w:val="32"/>
        </w:rPr>
        <w:t xml:space="preserve">the location of </w:t>
      </w:r>
      <w:r w:rsidRPr="00DE18BC">
        <w:rPr>
          <w:b/>
          <w:sz w:val="32"/>
          <w:szCs w:val="32"/>
        </w:rPr>
        <w:t>Early Help sites</w:t>
      </w:r>
      <w:r>
        <w:rPr>
          <w:b/>
          <w:sz w:val="32"/>
          <w:szCs w:val="32"/>
        </w:rPr>
        <w:t xml:space="preserve"> on Kirklees residents</w:t>
      </w:r>
    </w:p>
    <w:p w14:paraId="16D6C3CB" w14:textId="00431FD5" w:rsidR="00074184" w:rsidRPr="00636295" w:rsidRDefault="00095697" w:rsidP="00095697">
      <w:pPr>
        <w:spacing w:after="120" w:line="240" w:lineRule="auto"/>
        <w:rPr>
          <w:color w:val="000000" w:themeColor="text1"/>
        </w:rPr>
      </w:pPr>
      <w:r w:rsidRPr="00636295">
        <w:rPr>
          <w:color w:val="000000" w:themeColor="text1"/>
        </w:rPr>
        <w:t xml:space="preserve">It is recognised that changes to the location of Early Help sites may have a negative impact on certain </w:t>
      </w:r>
      <w:r w:rsidR="0038406C" w:rsidRPr="00636295">
        <w:rPr>
          <w:color w:val="000000" w:themeColor="text1"/>
        </w:rPr>
        <w:t>groups of Kirklees residents with protected characteristics</w:t>
      </w:r>
      <w:r w:rsidRPr="00636295">
        <w:rPr>
          <w:color w:val="000000" w:themeColor="text1"/>
        </w:rPr>
        <w:t xml:space="preserve"> due to difficulties they may experience in travelling greater distances. We anticipate this will be most significant in rural areas where travelling distances are greater and public transport options more limited, and to residents on low incomes, wherever they live, who may struggle to afford additional transport costs. </w:t>
      </w:r>
      <w:r w:rsidR="00CD5B1A" w:rsidRPr="00636295">
        <w:rPr>
          <w:color w:val="000000" w:themeColor="text1"/>
        </w:rPr>
        <w:t>It will also impact on parents or carers of young children, especially those with two or more children</w:t>
      </w:r>
      <w:r w:rsidR="00D26063" w:rsidRPr="00636295">
        <w:rPr>
          <w:color w:val="000000" w:themeColor="text1"/>
        </w:rPr>
        <w:t>, for whom travelling can be challenging.</w:t>
      </w:r>
    </w:p>
    <w:p w14:paraId="2A076CFC" w14:textId="608902C9" w:rsidR="00636295" w:rsidRPr="00636295" w:rsidRDefault="00B00482" w:rsidP="00095697">
      <w:pPr>
        <w:spacing w:after="120" w:line="240" w:lineRule="auto"/>
        <w:rPr>
          <w:color w:val="000000" w:themeColor="text1"/>
        </w:rPr>
      </w:pPr>
      <w:r w:rsidRPr="00636295">
        <w:rPr>
          <w:color w:val="000000" w:themeColor="text1"/>
        </w:rPr>
        <w:t>We considered the availability of public transport in deciding on the</w:t>
      </w:r>
      <w:r w:rsidR="005E37C9" w:rsidRPr="00636295">
        <w:rPr>
          <w:color w:val="000000" w:themeColor="text1"/>
        </w:rPr>
        <w:t xml:space="preserve"> location of the</w:t>
      </w:r>
      <w:r w:rsidRPr="00636295">
        <w:rPr>
          <w:color w:val="000000" w:themeColor="text1"/>
        </w:rPr>
        <w:t xml:space="preserve"> central and delivery sites </w:t>
      </w:r>
      <w:r w:rsidR="00636295" w:rsidRPr="00636295">
        <w:rPr>
          <w:color w:val="000000" w:themeColor="text1"/>
        </w:rPr>
        <w:t xml:space="preserve">proposed in September 2016, and on which we based our consultation in September / November 2016 </w:t>
      </w:r>
      <w:r w:rsidRPr="00636295">
        <w:rPr>
          <w:color w:val="000000" w:themeColor="text1"/>
        </w:rPr>
        <w:t xml:space="preserve">. </w:t>
      </w:r>
    </w:p>
    <w:p w14:paraId="16D6C3CC" w14:textId="7F27EB25" w:rsidR="00095697" w:rsidRDefault="00B00482" w:rsidP="00095697">
      <w:pPr>
        <w:spacing w:after="120" w:line="240" w:lineRule="auto"/>
        <w:rPr>
          <w:color w:val="000000" w:themeColor="text1"/>
        </w:rPr>
      </w:pPr>
      <w:r w:rsidRPr="00636295">
        <w:rPr>
          <w:color w:val="000000" w:themeColor="text1"/>
        </w:rPr>
        <w:t>However, w</w:t>
      </w:r>
      <w:r w:rsidR="00095697" w:rsidRPr="00636295">
        <w:rPr>
          <w:color w:val="000000" w:themeColor="text1"/>
        </w:rPr>
        <w:t xml:space="preserve">e </w:t>
      </w:r>
      <w:r w:rsidR="00636295" w:rsidRPr="00636295">
        <w:rPr>
          <w:color w:val="000000" w:themeColor="text1"/>
        </w:rPr>
        <w:t>have now gained</w:t>
      </w:r>
      <w:r w:rsidR="00095697" w:rsidRPr="00636295">
        <w:rPr>
          <w:color w:val="000000" w:themeColor="text1"/>
        </w:rPr>
        <w:t xml:space="preserve"> a more detailed understanding of this issue, </w:t>
      </w:r>
      <w:r w:rsidR="00636295" w:rsidRPr="00636295">
        <w:rPr>
          <w:color w:val="000000" w:themeColor="text1"/>
        </w:rPr>
        <w:t>having carried</w:t>
      </w:r>
      <w:r w:rsidR="00095697" w:rsidRPr="00636295">
        <w:rPr>
          <w:color w:val="000000" w:themeColor="text1"/>
        </w:rPr>
        <w:t xml:space="preserve"> out </w:t>
      </w:r>
      <w:r w:rsidRPr="00636295">
        <w:rPr>
          <w:color w:val="000000" w:themeColor="text1"/>
        </w:rPr>
        <w:t xml:space="preserve">more </w:t>
      </w:r>
      <w:r w:rsidR="00095697" w:rsidRPr="00636295">
        <w:rPr>
          <w:color w:val="000000" w:themeColor="text1"/>
        </w:rPr>
        <w:t xml:space="preserve">detailed analysis of </w:t>
      </w:r>
      <w:r w:rsidRPr="00636295">
        <w:rPr>
          <w:color w:val="000000" w:themeColor="text1"/>
        </w:rPr>
        <w:t>relevant data to inform the final decision in January 2017.</w:t>
      </w:r>
      <w:r w:rsidR="008C0246" w:rsidRPr="00636295">
        <w:rPr>
          <w:color w:val="000000" w:themeColor="text1"/>
        </w:rPr>
        <w:t xml:space="preserve"> </w:t>
      </w:r>
    </w:p>
    <w:p w14:paraId="16D6C3CE" w14:textId="4F9344F6" w:rsidR="00D74292" w:rsidRPr="00BB1E57" w:rsidRDefault="00C0506B" w:rsidP="00BB1E57">
      <w:pPr>
        <w:spacing w:before="600" w:line="240" w:lineRule="auto"/>
        <w:rPr>
          <w:b/>
          <w:sz w:val="28"/>
          <w:szCs w:val="28"/>
        </w:rPr>
      </w:pPr>
      <w:r>
        <w:rPr>
          <w:b/>
          <w:sz w:val="28"/>
          <w:szCs w:val="28"/>
        </w:rPr>
        <w:t>NON</w:t>
      </w:r>
      <w:r w:rsidR="00BB1E57" w:rsidRPr="00071D8E">
        <w:rPr>
          <w:b/>
          <w:sz w:val="28"/>
          <w:szCs w:val="28"/>
        </w:rPr>
        <w:t xml:space="preserve"> SITE-SPECIFIC </w:t>
      </w:r>
      <w:r>
        <w:rPr>
          <w:b/>
          <w:sz w:val="28"/>
          <w:szCs w:val="28"/>
        </w:rPr>
        <w:t xml:space="preserve">ISSUES </w:t>
      </w:r>
      <w:r w:rsidR="00BB1E57" w:rsidRPr="00071D8E">
        <w:rPr>
          <w:b/>
          <w:sz w:val="28"/>
          <w:szCs w:val="28"/>
        </w:rPr>
        <w:t>(common to all sites)</w:t>
      </w:r>
    </w:p>
    <w:tbl>
      <w:tblPr>
        <w:tblStyle w:val="TableGrid"/>
        <w:tblW w:w="14850" w:type="dxa"/>
        <w:tblLook w:val="04A0" w:firstRow="1" w:lastRow="0" w:firstColumn="1" w:lastColumn="0" w:noHBand="0" w:noVBand="1"/>
      </w:tblPr>
      <w:tblGrid>
        <w:gridCol w:w="2093"/>
        <w:gridCol w:w="2126"/>
        <w:gridCol w:w="5387"/>
        <w:gridCol w:w="5244"/>
      </w:tblGrid>
      <w:tr w:rsidR="005A1B2F" w:rsidRPr="009737AE" w14:paraId="16D6C3D3" w14:textId="77777777" w:rsidTr="006B66F2">
        <w:trPr>
          <w:tblHeader/>
        </w:trPr>
        <w:tc>
          <w:tcPr>
            <w:tcW w:w="2093" w:type="dxa"/>
          </w:tcPr>
          <w:p w14:paraId="16D6C3CF" w14:textId="77777777" w:rsidR="005A1B2F" w:rsidRPr="00157DDB" w:rsidRDefault="005A1B2F" w:rsidP="009E0B42">
            <w:pPr>
              <w:rPr>
                <w:b/>
                <w:color w:val="000000" w:themeColor="text1"/>
              </w:rPr>
            </w:pPr>
            <w:r w:rsidRPr="00157DDB">
              <w:rPr>
                <w:b/>
                <w:color w:val="000000" w:themeColor="text1"/>
              </w:rPr>
              <w:t>Site</w:t>
            </w:r>
          </w:p>
        </w:tc>
        <w:tc>
          <w:tcPr>
            <w:tcW w:w="2126" w:type="dxa"/>
          </w:tcPr>
          <w:p w14:paraId="16D6C3D0" w14:textId="77777777" w:rsidR="005A1B2F" w:rsidRPr="00157DDB" w:rsidRDefault="005A1B2F" w:rsidP="009E0B42">
            <w:pPr>
              <w:rPr>
                <w:b/>
                <w:color w:val="000000" w:themeColor="text1"/>
              </w:rPr>
            </w:pPr>
            <w:r w:rsidRPr="00157DDB">
              <w:rPr>
                <w:b/>
                <w:color w:val="000000" w:themeColor="text1"/>
              </w:rPr>
              <w:t>Proposal</w:t>
            </w:r>
          </w:p>
        </w:tc>
        <w:tc>
          <w:tcPr>
            <w:tcW w:w="5387" w:type="dxa"/>
          </w:tcPr>
          <w:p w14:paraId="16D6C3D1" w14:textId="11EE5C2C" w:rsidR="005A1B2F" w:rsidRPr="00157DDB" w:rsidRDefault="005A1B2F" w:rsidP="0038406C">
            <w:pPr>
              <w:rPr>
                <w:b/>
                <w:color w:val="000000" w:themeColor="text1"/>
              </w:rPr>
            </w:pPr>
            <w:r w:rsidRPr="00157DDB">
              <w:rPr>
                <w:b/>
                <w:color w:val="000000" w:themeColor="text1"/>
              </w:rPr>
              <w:t xml:space="preserve">Impact on </w:t>
            </w:r>
            <w:r w:rsidR="0038406C" w:rsidRPr="00157DDB">
              <w:rPr>
                <w:b/>
                <w:color w:val="000000" w:themeColor="text1"/>
              </w:rPr>
              <w:t>groups of Kirklees residents with protected characteristics</w:t>
            </w:r>
            <w:r w:rsidRPr="00157DDB">
              <w:rPr>
                <w:b/>
                <w:color w:val="000000" w:themeColor="text1"/>
              </w:rPr>
              <w:t xml:space="preserve"> </w:t>
            </w:r>
          </w:p>
        </w:tc>
        <w:tc>
          <w:tcPr>
            <w:tcW w:w="5244" w:type="dxa"/>
          </w:tcPr>
          <w:p w14:paraId="16D6C3D2" w14:textId="77777777" w:rsidR="005A1B2F" w:rsidRPr="00157DDB" w:rsidRDefault="005A1B2F" w:rsidP="009E0B42">
            <w:pPr>
              <w:rPr>
                <w:b/>
                <w:color w:val="000000" w:themeColor="text1"/>
              </w:rPr>
            </w:pPr>
            <w:r w:rsidRPr="00157DDB">
              <w:rPr>
                <w:b/>
                <w:color w:val="000000" w:themeColor="text1"/>
              </w:rPr>
              <w:t>Mitigation</w:t>
            </w:r>
          </w:p>
        </w:tc>
      </w:tr>
      <w:tr w:rsidR="005A1B2F" w:rsidRPr="009737AE" w14:paraId="16D6C3DB" w14:textId="77777777" w:rsidTr="006B66F2">
        <w:tc>
          <w:tcPr>
            <w:tcW w:w="2093" w:type="dxa"/>
          </w:tcPr>
          <w:p w14:paraId="16D6C3D4" w14:textId="77777777" w:rsidR="005A1B2F" w:rsidRPr="00157DDB" w:rsidRDefault="005A1B2F" w:rsidP="009E0B42">
            <w:pPr>
              <w:spacing w:after="120"/>
              <w:rPr>
                <w:color w:val="000000" w:themeColor="text1"/>
              </w:rPr>
            </w:pPr>
            <w:r w:rsidRPr="00157DDB">
              <w:rPr>
                <w:color w:val="000000" w:themeColor="text1"/>
              </w:rPr>
              <w:t>Children’s Centres</w:t>
            </w:r>
          </w:p>
        </w:tc>
        <w:tc>
          <w:tcPr>
            <w:tcW w:w="2126" w:type="dxa"/>
          </w:tcPr>
          <w:p w14:paraId="16D6C3D5" w14:textId="77777777" w:rsidR="005A1B2F" w:rsidRPr="00157DDB" w:rsidRDefault="006B66F2" w:rsidP="009E0B42">
            <w:pPr>
              <w:spacing w:after="120"/>
              <w:rPr>
                <w:color w:val="000000" w:themeColor="text1"/>
              </w:rPr>
            </w:pPr>
            <w:r w:rsidRPr="00157DDB">
              <w:rPr>
                <w:color w:val="000000" w:themeColor="text1"/>
              </w:rPr>
              <w:t>N/a</w:t>
            </w:r>
          </w:p>
        </w:tc>
        <w:tc>
          <w:tcPr>
            <w:tcW w:w="5387" w:type="dxa"/>
          </w:tcPr>
          <w:p w14:paraId="16D6C3D6" w14:textId="77777777" w:rsidR="005A1B2F" w:rsidRPr="00157DDB" w:rsidRDefault="005A1B2F" w:rsidP="009E0B42">
            <w:pPr>
              <w:rPr>
                <w:b/>
                <w:color w:val="000000" w:themeColor="text1"/>
              </w:rPr>
            </w:pPr>
            <w:r w:rsidRPr="00157DDB">
              <w:rPr>
                <w:b/>
                <w:color w:val="000000" w:themeColor="text1"/>
              </w:rPr>
              <w:t>Age</w:t>
            </w:r>
          </w:p>
          <w:p w14:paraId="16D6C3D7" w14:textId="77777777" w:rsidR="005A1B2F" w:rsidRPr="00157DDB" w:rsidRDefault="005A1B2F" w:rsidP="00852128">
            <w:pPr>
              <w:spacing w:after="120"/>
              <w:rPr>
                <w:color w:val="000000" w:themeColor="text1"/>
              </w:rPr>
            </w:pPr>
            <w:r w:rsidRPr="00157DDB">
              <w:rPr>
                <w:color w:val="000000" w:themeColor="text1"/>
              </w:rPr>
              <w:t xml:space="preserve">All Children’s Centres offer services for families with children aged 0-19 (0-25 for children with a disability), with a particular focus on families with children aged 0-4. The parents / carers of those children are typically aged </w:t>
            </w:r>
            <w:r w:rsidRPr="00157DDB">
              <w:rPr>
                <w:color w:val="000000" w:themeColor="text1"/>
              </w:rPr>
              <w:lastRenderedPageBreak/>
              <w:t>between 20 and 49.</w:t>
            </w:r>
          </w:p>
          <w:p w14:paraId="16D6C3D8" w14:textId="77777777" w:rsidR="00852128" w:rsidRPr="00157DDB" w:rsidRDefault="00852128" w:rsidP="00521617">
            <w:pPr>
              <w:spacing w:after="120"/>
              <w:rPr>
                <w:color w:val="000000" w:themeColor="text1"/>
              </w:rPr>
            </w:pPr>
            <w:r w:rsidRPr="00157DDB">
              <w:rPr>
                <w:color w:val="000000" w:themeColor="text1"/>
              </w:rPr>
              <w:t xml:space="preserve">The closure of any children’s centre would impact on these </w:t>
            </w:r>
            <w:r w:rsidR="00521617" w:rsidRPr="00157DDB">
              <w:rPr>
                <w:color w:val="000000" w:themeColor="text1"/>
              </w:rPr>
              <w:t>age</w:t>
            </w:r>
            <w:r w:rsidRPr="00157DDB">
              <w:rPr>
                <w:color w:val="000000" w:themeColor="text1"/>
              </w:rPr>
              <w:t xml:space="preserve"> groups.</w:t>
            </w:r>
          </w:p>
        </w:tc>
        <w:tc>
          <w:tcPr>
            <w:tcW w:w="5244" w:type="dxa"/>
          </w:tcPr>
          <w:p w14:paraId="16D6C3D9" w14:textId="4065DCB2" w:rsidR="00B00482" w:rsidRPr="00157DDB" w:rsidRDefault="00852128" w:rsidP="00807908">
            <w:pPr>
              <w:spacing w:after="120"/>
              <w:rPr>
                <w:color w:val="000000" w:themeColor="text1"/>
              </w:rPr>
            </w:pPr>
            <w:r w:rsidRPr="00157DDB">
              <w:rPr>
                <w:color w:val="000000" w:themeColor="text1"/>
              </w:rPr>
              <w:lastRenderedPageBreak/>
              <w:t xml:space="preserve">The impact of closure on those members of these </w:t>
            </w:r>
            <w:r w:rsidR="00521617" w:rsidRPr="00157DDB">
              <w:rPr>
                <w:color w:val="000000" w:themeColor="text1"/>
              </w:rPr>
              <w:t>age</w:t>
            </w:r>
            <w:r w:rsidRPr="00157DDB">
              <w:rPr>
                <w:color w:val="000000" w:themeColor="text1"/>
              </w:rPr>
              <w:t xml:space="preserve"> groups in greater need of support or intervention will be mitigated by the provision of services at alternative </w:t>
            </w:r>
            <w:r w:rsidR="00C0506B">
              <w:rPr>
                <w:color w:val="000000" w:themeColor="text1"/>
              </w:rPr>
              <w:t>locations</w:t>
            </w:r>
            <w:r w:rsidRPr="00157DDB">
              <w:rPr>
                <w:color w:val="000000" w:themeColor="text1"/>
              </w:rPr>
              <w:t xml:space="preserve"> within the Early Help Hub area.</w:t>
            </w:r>
            <w:r w:rsidR="00811923" w:rsidRPr="00157DDB">
              <w:rPr>
                <w:color w:val="000000" w:themeColor="text1"/>
              </w:rPr>
              <w:t xml:space="preserve"> The choice of proposed </w:t>
            </w:r>
            <w:r w:rsidR="00C0506B">
              <w:rPr>
                <w:color w:val="000000" w:themeColor="text1"/>
              </w:rPr>
              <w:t>designated children’s centres</w:t>
            </w:r>
            <w:r w:rsidR="00811923" w:rsidRPr="00157DDB">
              <w:rPr>
                <w:color w:val="000000" w:themeColor="text1"/>
              </w:rPr>
              <w:t xml:space="preserve"> has </w:t>
            </w:r>
            <w:r w:rsidR="00C0506B">
              <w:rPr>
                <w:color w:val="000000" w:themeColor="text1"/>
              </w:rPr>
              <w:t>taken into account</w:t>
            </w:r>
            <w:r w:rsidR="00811923" w:rsidRPr="00157DDB">
              <w:rPr>
                <w:color w:val="000000" w:themeColor="text1"/>
              </w:rPr>
              <w:t xml:space="preserve"> the concentrations of families in greater need.</w:t>
            </w:r>
            <w:r w:rsidR="00B00482" w:rsidRPr="00157DDB">
              <w:rPr>
                <w:color w:val="000000" w:themeColor="text1"/>
              </w:rPr>
              <w:t xml:space="preserve"> </w:t>
            </w:r>
            <w:r w:rsidR="00B00482" w:rsidRPr="00157DDB">
              <w:rPr>
                <w:color w:val="000000" w:themeColor="text1"/>
              </w:rPr>
              <w:lastRenderedPageBreak/>
              <w:t xml:space="preserve">In some cases, the use of community and partner venues such as schools, clinics or </w:t>
            </w:r>
            <w:r w:rsidR="00C0506B">
              <w:rPr>
                <w:color w:val="000000" w:themeColor="text1"/>
              </w:rPr>
              <w:t>community centres</w:t>
            </w:r>
            <w:r w:rsidR="00B00482" w:rsidRPr="00157DDB">
              <w:rPr>
                <w:color w:val="000000" w:themeColor="text1"/>
              </w:rPr>
              <w:t xml:space="preserve"> may improve access to certain services.</w:t>
            </w:r>
          </w:p>
          <w:p w14:paraId="16D6C3DA" w14:textId="77777777" w:rsidR="00852128" w:rsidRPr="00157DDB" w:rsidRDefault="00852128" w:rsidP="00521617">
            <w:pPr>
              <w:spacing w:after="120"/>
              <w:rPr>
                <w:color w:val="000000" w:themeColor="text1"/>
              </w:rPr>
            </w:pPr>
            <w:r w:rsidRPr="00157DDB">
              <w:rPr>
                <w:color w:val="000000" w:themeColor="text1"/>
              </w:rPr>
              <w:t xml:space="preserve">The impact of closure on those members of these </w:t>
            </w:r>
            <w:r w:rsidR="00521617" w:rsidRPr="00157DDB">
              <w:rPr>
                <w:color w:val="000000" w:themeColor="text1"/>
              </w:rPr>
              <w:t>age</w:t>
            </w:r>
            <w:r w:rsidRPr="00157DDB">
              <w:rPr>
                <w:color w:val="000000" w:themeColor="text1"/>
              </w:rPr>
              <w:t xml:space="preserve"> groups in </w:t>
            </w:r>
            <w:r w:rsidR="00164512" w:rsidRPr="00157DDB">
              <w:rPr>
                <w:color w:val="000000" w:themeColor="text1"/>
              </w:rPr>
              <w:t>lesser</w:t>
            </w:r>
            <w:r w:rsidRPr="00157DDB">
              <w:rPr>
                <w:color w:val="000000" w:themeColor="text1"/>
              </w:rPr>
              <w:t xml:space="preserve"> need of support or intervention</w:t>
            </w:r>
            <w:r w:rsidR="00164512" w:rsidRPr="00157DDB">
              <w:rPr>
                <w:color w:val="000000" w:themeColor="text1"/>
              </w:rPr>
              <w:t xml:space="preserve"> will be mitigated by the avail</w:t>
            </w:r>
            <w:r w:rsidR="00C75FB0" w:rsidRPr="00157DDB">
              <w:rPr>
                <w:color w:val="000000" w:themeColor="text1"/>
              </w:rPr>
              <w:t xml:space="preserve">ability of community run </w:t>
            </w:r>
            <w:r w:rsidR="00164512" w:rsidRPr="00157DDB">
              <w:rPr>
                <w:color w:val="000000" w:themeColor="text1"/>
              </w:rPr>
              <w:t>services.</w:t>
            </w:r>
          </w:p>
        </w:tc>
      </w:tr>
      <w:tr w:rsidR="00807908" w:rsidRPr="009737AE" w14:paraId="16D6C3E1" w14:textId="77777777" w:rsidTr="006B66F2">
        <w:tc>
          <w:tcPr>
            <w:tcW w:w="2093" w:type="dxa"/>
          </w:tcPr>
          <w:p w14:paraId="16D6C3DC" w14:textId="77777777" w:rsidR="00807908" w:rsidRPr="00157DDB" w:rsidRDefault="00807908" w:rsidP="009E0B42">
            <w:pPr>
              <w:spacing w:after="120"/>
              <w:rPr>
                <w:color w:val="000000" w:themeColor="text1"/>
              </w:rPr>
            </w:pPr>
            <w:r w:rsidRPr="00157DDB">
              <w:rPr>
                <w:color w:val="000000" w:themeColor="text1"/>
              </w:rPr>
              <w:lastRenderedPageBreak/>
              <w:t>Children’s Centres</w:t>
            </w:r>
          </w:p>
        </w:tc>
        <w:tc>
          <w:tcPr>
            <w:tcW w:w="2126" w:type="dxa"/>
          </w:tcPr>
          <w:p w14:paraId="16D6C3DD" w14:textId="77777777" w:rsidR="00807908" w:rsidRPr="00157DDB" w:rsidRDefault="006B66F2" w:rsidP="009E0B42">
            <w:pPr>
              <w:spacing w:after="120"/>
              <w:rPr>
                <w:color w:val="000000" w:themeColor="text1"/>
              </w:rPr>
            </w:pPr>
            <w:r w:rsidRPr="00157DDB">
              <w:rPr>
                <w:color w:val="000000" w:themeColor="text1"/>
              </w:rPr>
              <w:t>N/a</w:t>
            </w:r>
          </w:p>
        </w:tc>
        <w:tc>
          <w:tcPr>
            <w:tcW w:w="5387" w:type="dxa"/>
          </w:tcPr>
          <w:p w14:paraId="16D6C3DE" w14:textId="77777777" w:rsidR="00807908" w:rsidRPr="00157DDB" w:rsidRDefault="00807908" w:rsidP="009E0B42">
            <w:pPr>
              <w:rPr>
                <w:b/>
                <w:color w:val="000000" w:themeColor="text1"/>
              </w:rPr>
            </w:pPr>
            <w:r w:rsidRPr="00157DDB">
              <w:rPr>
                <w:b/>
                <w:color w:val="000000" w:themeColor="text1"/>
              </w:rPr>
              <w:t>Gender reassignment</w:t>
            </w:r>
            <w:r w:rsidRPr="00157DDB">
              <w:rPr>
                <w:b/>
                <w:color w:val="000000" w:themeColor="text1"/>
              </w:rPr>
              <w:tab/>
            </w:r>
          </w:p>
          <w:p w14:paraId="16D6C3DF" w14:textId="6DC129FD" w:rsidR="00807908" w:rsidRPr="00157DDB" w:rsidRDefault="00F04FB4" w:rsidP="00F04FB4">
            <w:pPr>
              <w:spacing w:after="120"/>
              <w:rPr>
                <w:color w:val="000000" w:themeColor="text1"/>
              </w:rPr>
            </w:pPr>
            <w:r w:rsidRPr="00157DDB">
              <w:rPr>
                <w:color w:val="000000" w:themeColor="text1"/>
              </w:rPr>
              <w:t xml:space="preserve">Our consultation did not identify any issues </w:t>
            </w:r>
            <w:r>
              <w:rPr>
                <w:color w:val="000000" w:themeColor="text1"/>
              </w:rPr>
              <w:t>for</w:t>
            </w:r>
            <w:r w:rsidRPr="00157DDB">
              <w:rPr>
                <w:color w:val="000000" w:themeColor="text1"/>
              </w:rPr>
              <w:t xml:space="preserve"> this group</w:t>
            </w:r>
            <w:r>
              <w:rPr>
                <w:color w:val="000000" w:themeColor="text1"/>
              </w:rPr>
              <w:t xml:space="preserve"> in regard to families with young children. However, we received feedback from LGBT young people, and this is addressed elsewhere in this document.</w:t>
            </w:r>
          </w:p>
        </w:tc>
        <w:tc>
          <w:tcPr>
            <w:tcW w:w="5244" w:type="dxa"/>
          </w:tcPr>
          <w:p w14:paraId="16D6C3E0" w14:textId="77777777" w:rsidR="00807908" w:rsidRPr="00157DDB" w:rsidRDefault="00807908" w:rsidP="00807908">
            <w:pPr>
              <w:spacing w:after="120"/>
              <w:rPr>
                <w:color w:val="000000" w:themeColor="text1"/>
              </w:rPr>
            </w:pPr>
            <w:r w:rsidRPr="00157DDB">
              <w:rPr>
                <w:color w:val="000000" w:themeColor="text1"/>
              </w:rPr>
              <w:t>N/a</w:t>
            </w:r>
          </w:p>
        </w:tc>
      </w:tr>
      <w:tr w:rsidR="00807908" w:rsidRPr="009737AE" w14:paraId="16D6C3E7" w14:textId="77777777" w:rsidTr="006B66F2">
        <w:tc>
          <w:tcPr>
            <w:tcW w:w="2093" w:type="dxa"/>
          </w:tcPr>
          <w:p w14:paraId="16D6C3E2" w14:textId="77777777" w:rsidR="00807908" w:rsidRPr="00157DDB" w:rsidRDefault="00807908" w:rsidP="009E0B42">
            <w:pPr>
              <w:spacing w:after="120"/>
              <w:rPr>
                <w:color w:val="000000" w:themeColor="text1"/>
              </w:rPr>
            </w:pPr>
            <w:r w:rsidRPr="00157DDB">
              <w:rPr>
                <w:color w:val="000000" w:themeColor="text1"/>
              </w:rPr>
              <w:t>Children’s Centres</w:t>
            </w:r>
          </w:p>
        </w:tc>
        <w:tc>
          <w:tcPr>
            <w:tcW w:w="2126" w:type="dxa"/>
          </w:tcPr>
          <w:p w14:paraId="16D6C3E3" w14:textId="77777777" w:rsidR="00807908" w:rsidRPr="00157DDB" w:rsidRDefault="006B66F2" w:rsidP="009E0B42">
            <w:pPr>
              <w:spacing w:after="120"/>
              <w:rPr>
                <w:color w:val="000000" w:themeColor="text1"/>
              </w:rPr>
            </w:pPr>
            <w:r w:rsidRPr="00157DDB">
              <w:rPr>
                <w:color w:val="000000" w:themeColor="text1"/>
              </w:rPr>
              <w:t>N/a</w:t>
            </w:r>
          </w:p>
        </w:tc>
        <w:tc>
          <w:tcPr>
            <w:tcW w:w="5387" w:type="dxa"/>
          </w:tcPr>
          <w:p w14:paraId="16D6C3E4" w14:textId="77777777" w:rsidR="00807908" w:rsidRPr="00157DDB" w:rsidRDefault="00807908" w:rsidP="009E0B42">
            <w:pPr>
              <w:rPr>
                <w:b/>
                <w:color w:val="000000" w:themeColor="text1"/>
              </w:rPr>
            </w:pPr>
            <w:r w:rsidRPr="00157DDB">
              <w:rPr>
                <w:b/>
                <w:color w:val="000000" w:themeColor="text1"/>
              </w:rPr>
              <w:t>Marriage and Civil Partnership</w:t>
            </w:r>
          </w:p>
          <w:p w14:paraId="16D6C3E5" w14:textId="318BCADE" w:rsidR="00807908" w:rsidRPr="00157DDB" w:rsidRDefault="00807908" w:rsidP="0038406C">
            <w:pPr>
              <w:spacing w:after="120"/>
              <w:rPr>
                <w:color w:val="000000" w:themeColor="text1"/>
              </w:rPr>
            </w:pPr>
            <w:r w:rsidRPr="00157DDB">
              <w:rPr>
                <w:color w:val="000000" w:themeColor="text1"/>
              </w:rPr>
              <w:t>We do not foresee any impact on this group.</w:t>
            </w:r>
            <w:r w:rsidR="00157DDB" w:rsidRPr="00157DDB">
              <w:rPr>
                <w:color w:val="000000" w:themeColor="text1"/>
              </w:rPr>
              <w:t xml:space="preserve"> Our consultation did not identify any issues in regard to this group.</w:t>
            </w:r>
          </w:p>
        </w:tc>
        <w:tc>
          <w:tcPr>
            <w:tcW w:w="5244" w:type="dxa"/>
          </w:tcPr>
          <w:p w14:paraId="16D6C3E6" w14:textId="77777777" w:rsidR="00807908" w:rsidRPr="00157DDB" w:rsidRDefault="00807908" w:rsidP="00807908">
            <w:pPr>
              <w:spacing w:after="120"/>
              <w:rPr>
                <w:color w:val="000000" w:themeColor="text1"/>
              </w:rPr>
            </w:pPr>
            <w:r w:rsidRPr="00157DDB">
              <w:rPr>
                <w:color w:val="000000" w:themeColor="text1"/>
              </w:rPr>
              <w:t>N/a</w:t>
            </w:r>
          </w:p>
        </w:tc>
      </w:tr>
      <w:tr w:rsidR="00B26084" w:rsidRPr="009737AE" w14:paraId="16D6C3EF" w14:textId="77777777" w:rsidTr="006B66F2">
        <w:tc>
          <w:tcPr>
            <w:tcW w:w="2093" w:type="dxa"/>
          </w:tcPr>
          <w:p w14:paraId="16D6C3E8" w14:textId="77777777" w:rsidR="00B26084" w:rsidRPr="00157DDB" w:rsidRDefault="00B26084" w:rsidP="00E3657A">
            <w:pPr>
              <w:spacing w:after="120"/>
              <w:rPr>
                <w:color w:val="000000" w:themeColor="text1"/>
              </w:rPr>
            </w:pPr>
            <w:r w:rsidRPr="00157DDB">
              <w:rPr>
                <w:color w:val="000000" w:themeColor="text1"/>
              </w:rPr>
              <w:t>Children’s Centres</w:t>
            </w:r>
          </w:p>
        </w:tc>
        <w:tc>
          <w:tcPr>
            <w:tcW w:w="2126" w:type="dxa"/>
          </w:tcPr>
          <w:p w14:paraId="16D6C3E9" w14:textId="77777777" w:rsidR="00B26084" w:rsidRPr="00157DDB" w:rsidRDefault="00B26084" w:rsidP="00E3657A">
            <w:pPr>
              <w:spacing w:after="120"/>
              <w:rPr>
                <w:color w:val="000000" w:themeColor="text1"/>
              </w:rPr>
            </w:pPr>
            <w:r w:rsidRPr="00157DDB">
              <w:rPr>
                <w:color w:val="000000" w:themeColor="text1"/>
              </w:rPr>
              <w:t>N/a</w:t>
            </w:r>
          </w:p>
        </w:tc>
        <w:tc>
          <w:tcPr>
            <w:tcW w:w="5387" w:type="dxa"/>
          </w:tcPr>
          <w:p w14:paraId="16D6C3EA" w14:textId="77777777" w:rsidR="00B26084" w:rsidRPr="00157DDB" w:rsidRDefault="00B26084" w:rsidP="00E3657A">
            <w:pPr>
              <w:rPr>
                <w:b/>
                <w:color w:val="000000" w:themeColor="text1"/>
              </w:rPr>
            </w:pPr>
            <w:r w:rsidRPr="00157DDB">
              <w:rPr>
                <w:b/>
                <w:color w:val="000000" w:themeColor="text1"/>
              </w:rPr>
              <w:t>Pregnancy and maternity</w:t>
            </w:r>
          </w:p>
          <w:p w14:paraId="16D6C3EB" w14:textId="77777777" w:rsidR="00B26084" w:rsidRPr="00157DDB" w:rsidRDefault="00B26084" w:rsidP="00FF22E3">
            <w:pPr>
              <w:spacing w:after="120"/>
              <w:rPr>
                <w:color w:val="000000" w:themeColor="text1"/>
              </w:rPr>
            </w:pPr>
            <w:r w:rsidRPr="00157DDB">
              <w:rPr>
                <w:color w:val="000000" w:themeColor="text1"/>
              </w:rPr>
              <w:t xml:space="preserve">All Children’s Centres offer services for families with children aged 0-19 (0-25 for children with a disability), with a particular focus on families with children aged 0-4. The closure of any children’s centre would </w:t>
            </w:r>
            <w:r w:rsidR="00FF22E3" w:rsidRPr="00157DDB">
              <w:rPr>
                <w:color w:val="000000" w:themeColor="text1"/>
              </w:rPr>
              <w:t xml:space="preserve">therefore </w:t>
            </w:r>
            <w:r w:rsidRPr="00157DDB">
              <w:rPr>
                <w:color w:val="000000" w:themeColor="text1"/>
              </w:rPr>
              <w:t xml:space="preserve">impact on </w:t>
            </w:r>
            <w:r w:rsidR="00FF22E3" w:rsidRPr="00157DDB">
              <w:rPr>
                <w:color w:val="000000" w:themeColor="text1"/>
              </w:rPr>
              <w:t>mothers of babies and young children</w:t>
            </w:r>
            <w:r w:rsidRPr="00157DDB">
              <w:rPr>
                <w:color w:val="000000" w:themeColor="text1"/>
              </w:rPr>
              <w:t>.</w:t>
            </w:r>
            <w:r w:rsidR="00FF22E3" w:rsidRPr="00157DDB">
              <w:rPr>
                <w:color w:val="000000" w:themeColor="text1"/>
              </w:rPr>
              <w:t xml:space="preserve"> Although this is true wherever a family lives, it should be noted that the number of new babies registered with children’s centres in the Rural area is substantially lower than in the other areas (less than half the rate in Huddersfield in 2015/16).</w:t>
            </w:r>
          </w:p>
        </w:tc>
        <w:tc>
          <w:tcPr>
            <w:tcW w:w="5244" w:type="dxa"/>
          </w:tcPr>
          <w:p w14:paraId="2BDB8329" w14:textId="30E8154A" w:rsidR="00C0506B" w:rsidRPr="00157DDB" w:rsidRDefault="00C0506B" w:rsidP="00C0506B">
            <w:pPr>
              <w:spacing w:after="120"/>
              <w:rPr>
                <w:color w:val="000000" w:themeColor="text1"/>
              </w:rPr>
            </w:pPr>
            <w:r w:rsidRPr="00157DDB">
              <w:rPr>
                <w:color w:val="000000" w:themeColor="text1"/>
              </w:rPr>
              <w:t xml:space="preserve">The impact of closure on mothers of babies and young children in greater need of support or intervention will be mitigated by the provision of services at alternative </w:t>
            </w:r>
            <w:r>
              <w:rPr>
                <w:color w:val="000000" w:themeColor="text1"/>
              </w:rPr>
              <w:t>locations</w:t>
            </w:r>
            <w:r w:rsidRPr="00157DDB">
              <w:rPr>
                <w:color w:val="000000" w:themeColor="text1"/>
              </w:rPr>
              <w:t xml:space="preserve"> within the Early Help Hub area. The choice of proposed </w:t>
            </w:r>
            <w:r>
              <w:rPr>
                <w:color w:val="000000" w:themeColor="text1"/>
              </w:rPr>
              <w:t>designated children’s centres</w:t>
            </w:r>
            <w:r w:rsidRPr="00157DDB">
              <w:rPr>
                <w:color w:val="000000" w:themeColor="text1"/>
              </w:rPr>
              <w:t xml:space="preserve"> has </w:t>
            </w:r>
            <w:r>
              <w:rPr>
                <w:color w:val="000000" w:themeColor="text1"/>
              </w:rPr>
              <w:t>taken into account</w:t>
            </w:r>
            <w:r w:rsidRPr="00157DDB">
              <w:rPr>
                <w:color w:val="000000" w:themeColor="text1"/>
              </w:rPr>
              <w:t xml:space="preserve"> the concentrations of families in greater need. In some cases, the use of community and partner venues such as schools, clinics or </w:t>
            </w:r>
            <w:r>
              <w:rPr>
                <w:color w:val="000000" w:themeColor="text1"/>
              </w:rPr>
              <w:t>community centres</w:t>
            </w:r>
            <w:r w:rsidRPr="00157DDB">
              <w:rPr>
                <w:color w:val="000000" w:themeColor="text1"/>
              </w:rPr>
              <w:t xml:space="preserve"> may improve access to certain services.</w:t>
            </w:r>
          </w:p>
          <w:p w14:paraId="16D6C3EE" w14:textId="689C51AB" w:rsidR="00C0506B" w:rsidRPr="00157DDB" w:rsidRDefault="00C0506B" w:rsidP="00C0506B">
            <w:pPr>
              <w:spacing w:after="120"/>
              <w:rPr>
                <w:color w:val="000000" w:themeColor="text1"/>
              </w:rPr>
            </w:pPr>
            <w:r w:rsidRPr="00157DDB">
              <w:rPr>
                <w:color w:val="000000" w:themeColor="text1"/>
              </w:rPr>
              <w:t>The impact of closure on mothers of babies and young children in lesser need of support or intervention will be mitigated by the availability of community run services.</w:t>
            </w:r>
          </w:p>
        </w:tc>
      </w:tr>
      <w:tr w:rsidR="00B26084" w:rsidRPr="009737AE" w14:paraId="16D6C3F7" w14:textId="77777777" w:rsidTr="006B66F2">
        <w:tc>
          <w:tcPr>
            <w:tcW w:w="2093" w:type="dxa"/>
          </w:tcPr>
          <w:p w14:paraId="16D6C3F0" w14:textId="77777777" w:rsidR="00B26084" w:rsidRPr="00157DDB" w:rsidRDefault="00B26084" w:rsidP="009E0B42">
            <w:pPr>
              <w:spacing w:after="120"/>
              <w:rPr>
                <w:color w:val="000000" w:themeColor="text1"/>
              </w:rPr>
            </w:pPr>
            <w:r w:rsidRPr="00157DDB">
              <w:rPr>
                <w:color w:val="000000" w:themeColor="text1"/>
              </w:rPr>
              <w:t>Children’s Centres</w:t>
            </w:r>
          </w:p>
        </w:tc>
        <w:tc>
          <w:tcPr>
            <w:tcW w:w="2126" w:type="dxa"/>
          </w:tcPr>
          <w:p w14:paraId="16D6C3F1" w14:textId="77777777" w:rsidR="00B26084" w:rsidRPr="00157DDB" w:rsidRDefault="00B26084" w:rsidP="009E0B42">
            <w:pPr>
              <w:spacing w:after="120"/>
              <w:rPr>
                <w:color w:val="000000" w:themeColor="text1"/>
              </w:rPr>
            </w:pPr>
            <w:r w:rsidRPr="00157DDB">
              <w:rPr>
                <w:color w:val="000000" w:themeColor="text1"/>
              </w:rPr>
              <w:t>N/a</w:t>
            </w:r>
          </w:p>
        </w:tc>
        <w:tc>
          <w:tcPr>
            <w:tcW w:w="5387" w:type="dxa"/>
          </w:tcPr>
          <w:p w14:paraId="16D6C3F2" w14:textId="77777777" w:rsidR="00B26084" w:rsidRPr="00157DDB" w:rsidRDefault="00B26084" w:rsidP="009E0B42">
            <w:pPr>
              <w:rPr>
                <w:b/>
                <w:color w:val="000000" w:themeColor="text1"/>
              </w:rPr>
            </w:pPr>
            <w:r w:rsidRPr="00157DDB">
              <w:rPr>
                <w:b/>
                <w:color w:val="000000" w:themeColor="text1"/>
              </w:rPr>
              <w:t>Sex</w:t>
            </w:r>
          </w:p>
          <w:p w14:paraId="16D6C3F3" w14:textId="47FA4DAE" w:rsidR="00B26084" w:rsidRPr="00157DDB" w:rsidRDefault="00B26084" w:rsidP="009E0B42">
            <w:pPr>
              <w:rPr>
                <w:color w:val="000000" w:themeColor="text1"/>
              </w:rPr>
            </w:pPr>
            <w:r w:rsidRPr="00157DDB">
              <w:rPr>
                <w:color w:val="000000" w:themeColor="text1"/>
              </w:rPr>
              <w:t xml:space="preserve">The </w:t>
            </w:r>
            <w:r w:rsidR="00C0506B">
              <w:rPr>
                <w:color w:val="000000" w:themeColor="text1"/>
              </w:rPr>
              <w:t xml:space="preserve">parents and </w:t>
            </w:r>
            <w:r w:rsidRPr="00157DDB">
              <w:rPr>
                <w:color w:val="000000" w:themeColor="text1"/>
              </w:rPr>
              <w:t xml:space="preserve">carers who currently use Children’s Centres are at least 80% female. Therefore all changes to Children’s Centres, positive or negative, will impact </w:t>
            </w:r>
            <w:r w:rsidRPr="00157DDB">
              <w:rPr>
                <w:color w:val="000000" w:themeColor="text1"/>
              </w:rPr>
              <w:lastRenderedPageBreak/>
              <w:t>disproportionately on this group.</w:t>
            </w:r>
          </w:p>
          <w:p w14:paraId="16D6C3F4" w14:textId="77777777" w:rsidR="00B26084" w:rsidRPr="00157DDB" w:rsidRDefault="00B26084" w:rsidP="009E0B42">
            <w:pPr>
              <w:rPr>
                <w:color w:val="000000" w:themeColor="text1"/>
              </w:rPr>
            </w:pPr>
          </w:p>
        </w:tc>
        <w:tc>
          <w:tcPr>
            <w:tcW w:w="5244" w:type="dxa"/>
          </w:tcPr>
          <w:p w14:paraId="3DE9CB49" w14:textId="65BF2EBB" w:rsidR="00C0506B" w:rsidRPr="00157DDB" w:rsidRDefault="00C0506B" w:rsidP="00C0506B">
            <w:pPr>
              <w:spacing w:after="120"/>
              <w:rPr>
                <w:color w:val="000000" w:themeColor="text1"/>
              </w:rPr>
            </w:pPr>
            <w:r w:rsidRPr="00157DDB">
              <w:rPr>
                <w:color w:val="000000" w:themeColor="text1"/>
              </w:rPr>
              <w:lastRenderedPageBreak/>
              <w:t xml:space="preserve">The impact of closure on </w:t>
            </w:r>
            <w:r>
              <w:rPr>
                <w:color w:val="000000" w:themeColor="text1"/>
              </w:rPr>
              <w:t>female parents and carers</w:t>
            </w:r>
            <w:r w:rsidRPr="00157DDB">
              <w:rPr>
                <w:color w:val="000000" w:themeColor="text1"/>
              </w:rPr>
              <w:t xml:space="preserve"> in greater need of support or intervention will be mitigated by the provision of services at alternative </w:t>
            </w:r>
            <w:r>
              <w:rPr>
                <w:color w:val="000000" w:themeColor="text1"/>
              </w:rPr>
              <w:t>locations</w:t>
            </w:r>
            <w:r w:rsidRPr="00157DDB">
              <w:rPr>
                <w:color w:val="000000" w:themeColor="text1"/>
              </w:rPr>
              <w:t xml:space="preserve"> within the Early Help Hub area. The choice of </w:t>
            </w:r>
            <w:r w:rsidRPr="00157DDB">
              <w:rPr>
                <w:color w:val="000000" w:themeColor="text1"/>
              </w:rPr>
              <w:lastRenderedPageBreak/>
              <w:t xml:space="preserve">proposed </w:t>
            </w:r>
            <w:r>
              <w:rPr>
                <w:color w:val="000000" w:themeColor="text1"/>
              </w:rPr>
              <w:t>designated children’s centres</w:t>
            </w:r>
            <w:r w:rsidRPr="00157DDB">
              <w:rPr>
                <w:color w:val="000000" w:themeColor="text1"/>
              </w:rPr>
              <w:t xml:space="preserve"> has </w:t>
            </w:r>
            <w:r>
              <w:rPr>
                <w:color w:val="000000" w:themeColor="text1"/>
              </w:rPr>
              <w:t>taken into account</w:t>
            </w:r>
            <w:r w:rsidRPr="00157DDB">
              <w:rPr>
                <w:color w:val="000000" w:themeColor="text1"/>
              </w:rPr>
              <w:t xml:space="preserve"> the concentrations of families in greater need. In some cases, the use of community and partner venues such as schools, clinics or </w:t>
            </w:r>
            <w:r>
              <w:rPr>
                <w:color w:val="000000" w:themeColor="text1"/>
              </w:rPr>
              <w:t>community centres</w:t>
            </w:r>
            <w:r w:rsidRPr="00157DDB">
              <w:rPr>
                <w:color w:val="000000" w:themeColor="text1"/>
              </w:rPr>
              <w:t xml:space="preserve"> may improve access to certain services.</w:t>
            </w:r>
          </w:p>
          <w:p w14:paraId="16D6C3F6" w14:textId="7EAACB0B" w:rsidR="00B26084" w:rsidRPr="00157DDB" w:rsidRDefault="00C0506B" w:rsidP="00C0506B">
            <w:pPr>
              <w:spacing w:after="120"/>
              <w:rPr>
                <w:color w:val="000000" w:themeColor="text1"/>
              </w:rPr>
            </w:pPr>
            <w:r w:rsidRPr="00157DDB">
              <w:rPr>
                <w:color w:val="000000" w:themeColor="text1"/>
              </w:rPr>
              <w:t xml:space="preserve">The impact of closure on </w:t>
            </w:r>
            <w:r>
              <w:rPr>
                <w:color w:val="000000" w:themeColor="text1"/>
              </w:rPr>
              <w:t>female parents and carers</w:t>
            </w:r>
            <w:r w:rsidRPr="00157DDB">
              <w:rPr>
                <w:color w:val="000000" w:themeColor="text1"/>
              </w:rPr>
              <w:t xml:space="preserve"> in lesser need of support or intervention will be mitigated by the availability of community run services.</w:t>
            </w:r>
          </w:p>
        </w:tc>
      </w:tr>
      <w:tr w:rsidR="00B26084" w:rsidRPr="009737AE" w14:paraId="16D6C3FD" w14:textId="77777777" w:rsidTr="006B66F2">
        <w:tc>
          <w:tcPr>
            <w:tcW w:w="2093" w:type="dxa"/>
          </w:tcPr>
          <w:p w14:paraId="16D6C3F8" w14:textId="77777777" w:rsidR="00B26084" w:rsidRPr="00F04FB4" w:rsidRDefault="00B26084" w:rsidP="009E0B42">
            <w:pPr>
              <w:spacing w:after="120"/>
              <w:rPr>
                <w:color w:val="000000" w:themeColor="text1"/>
              </w:rPr>
            </w:pPr>
            <w:r w:rsidRPr="00F04FB4">
              <w:rPr>
                <w:color w:val="000000" w:themeColor="text1"/>
              </w:rPr>
              <w:lastRenderedPageBreak/>
              <w:t>Children’s Centres</w:t>
            </w:r>
          </w:p>
        </w:tc>
        <w:tc>
          <w:tcPr>
            <w:tcW w:w="2126" w:type="dxa"/>
          </w:tcPr>
          <w:p w14:paraId="16D6C3F9" w14:textId="77777777" w:rsidR="00B26084" w:rsidRPr="00F04FB4" w:rsidRDefault="00B26084" w:rsidP="009E0B42">
            <w:pPr>
              <w:spacing w:after="120"/>
              <w:rPr>
                <w:color w:val="000000" w:themeColor="text1"/>
              </w:rPr>
            </w:pPr>
            <w:r w:rsidRPr="00F04FB4">
              <w:rPr>
                <w:color w:val="000000" w:themeColor="text1"/>
              </w:rPr>
              <w:t>N/a</w:t>
            </w:r>
          </w:p>
        </w:tc>
        <w:tc>
          <w:tcPr>
            <w:tcW w:w="5387" w:type="dxa"/>
          </w:tcPr>
          <w:p w14:paraId="16D6C3FA" w14:textId="77777777" w:rsidR="00B26084" w:rsidRPr="00F04FB4" w:rsidRDefault="00B26084" w:rsidP="009E0B42">
            <w:pPr>
              <w:rPr>
                <w:b/>
                <w:color w:val="000000" w:themeColor="text1"/>
              </w:rPr>
            </w:pPr>
            <w:r w:rsidRPr="00F04FB4">
              <w:rPr>
                <w:b/>
                <w:color w:val="000000" w:themeColor="text1"/>
              </w:rPr>
              <w:t>Sexual Orientation</w:t>
            </w:r>
          </w:p>
          <w:p w14:paraId="16D6C3FB" w14:textId="73E50D22" w:rsidR="00B26084" w:rsidRPr="00F04FB4" w:rsidRDefault="00157DDB" w:rsidP="00F04FB4">
            <w:pPr>
              <w:spacing w:after="120"/>
              <w:rPr>
                <w:color w:val="000000" w:themeColor="text1"/>
              </w:rPr>
            </w:pPr>
            <w:r w:rsidRPr="00F04FB4">
              <w:rPr>
                <w:color w:val="000000" w:themeColor="text1"/>
              </w:rPr>
              <w:t>Our consultation did not identify any issues for this group in regard to families</w:t>
            </w:r>
            <w:r w:rsidR="00F04FB4" w:rsidRPr="00F04FB4">
              <w:rPr>
                <w:color w:val="000000" w:themeColor="text1"/>
              </w:rPr>
              <w:t xml:space="preserve"> with young children. </w:t>
            </w:r>
          </w:p>
        </w:tc>
        <w:tc>
          <w:tcPr>
            <w:tcW w:w="5244" w:type="dxa"/>
          </w:tcPr>
          <w:p w14:paraId="16D6C3FC" w14:textId="77777777" w:rsidR="00B26084" w:rsidRPr="00F04FB4" w:rsidRDefault="00B26084" w:rsidP="00807908">
            <w:pPr>
              <w:spacing w:after="120"/>
              <w:rPr>
                <w:color w:val="000000" w:themeColor="text1"/>
              </w:rPr>
            </w:pPr>
            <w:r w:rsidRPr="00F04FB4">
              <w:rPr>
                <w:color w:val="000000" w:themeColor="text1"/>
              </w:rPr>
              <w:t>N/a</w:t>
            </w:r>
          </w:p>
        </w:tc>
      </w:tr>
      <w:tr w:rsidR="00B26084" w:rsidRPr="009737AE" w14:paraId="16D6C406" w14:textId="77777777" w:rsidTr="006B66F2">
        <w:tc>
          <w:tcPr>
            <w:tcW w:w="2093" w:type="dxa"/>
          </w:tcPr>
          <w:p w14:paraId="16D6C3FE" w14:textId="77777777" w:rsidR="00B26084" w:rsidRPr="00F04FB4" w:rsidRDefault="00B26084" w:rsidP="009E0B42">
            <w:pPr>
              <w:spacing w:after="120"/>
              <w:rPr>
                <w:color w:val="000000" w:themeColor="text1"/>
              </w:rPr>
            </w:pPr>
            <w:r w:rsidRPr="00F04FB4">
              <w:rPr>
                <w:color w:val="000000" w:themeColor="text1"/>
              </w:rPr>
              <w:t>Youth Centres</w:t>
            </w:r>
          </w:p>
        </w:tc>
        <w:tc>
          <w:tcPr>
            <w:tcW w:w="2126" w:type="dxa"/>
          </w:tcPr>
          <w:p w14:paraId="16D6C3FF" w14:textId="77777777" w:rsidR="00B26084" w:rsidRPr="00F04FB4" w:rsidRDefault="00B26084" w:rsidP="00E3657A">
            <w:pPr>
              <w:spacing w:after="120"/>
              <w:rPr>
                <w:color w:val="000000" w:themeColor="text1"/>
              </w:rPr>
            </w:pPr>
            <w:r w:rsidRPr="00F04FB4">
              <w:rPr>
                <w:color w:val="000000" w:themeColor="text1"/>
              </w:rPr>
              <w:t>N/a</w:t>
            </w:r>
          </w:p>
        </w:tc>
        <w:tc>
          <w:tcPr>
            <w:tcW w:w="5387" w:type="dxa"/>
          </w:tcPr>
          <w:p w14:paraId="16D6C400" w14:textId="77777777" w:rsidR="00B26084" w:rsidRPr="00F04FB4" w:rsidRDefault="00B26084" w:rsidP="00E3657A">
            <w:pPr>
              <w:rPr>
                <w:b/>
                <w:color w:val="000000" w:themeColor="text1"/>
              </w:rPr>
            </w:pPr>
            <w:r w:rsidRPr="00F04FB4">
              <w:rPr>
                <w:b/>
                <w:color w:val="000000" w:themeColor="text1"/>
              </w:rPr>
              <w:t>Age</w:t>
            </w:r>
          </w:p>
          <w:p w14:paraId="16D6C401" w14:textId="77777777" w:rsidR="00521617" w:rsidRPr="00F04FB4" w:rsidRDefault="00521617" w:rsidP="00521617">
            <w:pPr>
              <w:spacing w:after="120"/>
              <w:rPr>
                <w:color w:val="000000" w:themeColor="text1"/>
              </w:rPr>
            </w:pPr>
            <w:r w:rsidRPr="00F04FB4">
              <w:rPr>
                <w:color w:val="000000" w:themeColor="text1"/>
              </w:rPr>
              <w:t>Kirklees Integrated Youth Support Service (IYSS) offers services for children and young people aged 8-19 (8-25 for children with a disability).</w:t>
            </w:r>
          </w:p>
          <w:p w14:paraId="16D6C402" w14:textId="77777777" w:rsidR="00B26084" w:rsidRPr="00F04FB4" w:rsidRDefault="00521617" w:rsidP="00521617">
            <w:pPr>
              <w:spacing w:after="120"/>
              <w:rPr>
                <w:b/>
                <w:color w:val="000000" w:themeColor="text1"/>
              </w:rPr>
            </w:pPr>
            <w:r w:rsidRPr="00F04FB4">
              <w:rPr>
                <w:color w:val="000000" w:themeColor="text1"/>
              </w:rPr>
              <w:t>The closure of any youth centre would impact on this age group.</w:t>
            </w:r>
          </w:p>
        </w:tc>
        <w:tc>
          <w:tcPr>
            <w:tcW w:w="5244" w:type="dxa"/>
          </w:tcPr>
          <w:p w14:paraId="2D18D3AF" w14:textId="42CB8C44" w:rsidR="00C0506B" w:rsidRPr="00157DDB" w:rsidRDefault="00C0506B" w:rsidP="00C0506B">
            <w:pPr>
              <w:spacing w:after="120"/>
              <w:rPr>
                <w:color w:val="000000" w:themeColor="text1"/>
              </w:rPr>
            </w:pPr>
            <w:r w:rsidRPr="00157DDB">
              <w:rPr>
                <w:color w:val="000000" w:themeColor="text1"/>
              </w:rPr>
              <w:t xml:space="preserve">The impact of closure on </w:t>
            </w:r>
            <w:r w:rsidRPr="00F04FB4">
              <w:rPr>
                <w:color w:val="000000" w:themeColor="text1"/>
              </w:rPr>
              <w:t xml:space="preserve">children and young people </w:t>
            </w:r>
            <w:r w:rsidRPr="00157DDB">
              <w:rPr>
                <w:color w:val="000000" w:themeColor="text1"/>
              </w:rPr>
              <w:t xml:space="preserve">in greater need of support or intervention will be mitigated by the provision of services at alternative </w:t>
            </w:r>
            <w:r>
              <w:rPr>
                <w:color w:val="000000" w:themeColor="text1"/>
              </w:rPr>
              <w:t>locations</w:t>
            </w:r>
            <w:r w:rsidRPr="00157DDB">
              <w:rPr>
                <w:color w:val="000000" w:themeColor="text1"/>
              </w:rPr>
              <w:t xml:space="preserve"> within the Early Help Hub area. The choice of proposed </w:t>
            </w:r>
            <w:r>
              <w:rPr>
                <w:color w:val="000000" w:themeColor="text1"/>
              </w:rPr>
              <w:t>designated children’s centres</w:t>
            </w:r>
            <w:r w:rsidRPr="00157DDB">
              <w:rPr>
                <w:color w:val="000000" w:themeColor="text1"/>
              </w:rPr>
              <w:t xml:space="preserve"> has </w:t>
            </w:r>
            <w:r>
              <w:rPr>
                <w:color w:val="000000" w:themeColor="text1"/>
              </w:rPr>
              <w:t>taken into account</w:t>
            </w:r>
            <w:r w:rsidRPr="00157DDB">
              <w:rPr>
                <w:color w:val="000000" w:themeColor="text1"/>
              </w:rPr>
              <w:t xml:space="preserve"> the concentrations of families in greater need. In some cases, the use of community and </w:t>
            </w:r>
            <w:r w:rsidR="003D1EBD">
              <w:rPr>
                <w:color w:val="000000" w:themeColor="text1"/>
              </w:rPr>
              <w:t xml:space="preserve">partner venues such as schools </w:t>
            </w:r>
            <w:r w:rsidRPr="00157DDB">
              <w:rPr>
                <w:color w:val="000000" w:themeColor="text1"/>
              </w:rPr>
              <w:t xml:space="preserve">or </w:t>
            </w:r>
            <w:r>
              <w:rPr>
                <w:color w:val="000000" w:themeColor="text1"/>
              </w:rPr>
              <w:t>community centres</w:t>
            </w:r>
            <w:r w:rsidRPr="00157DDB">
              <w:rPr>
                <w:color w:val="000000" w:themeColor="text1"/>
              </w:rPr>
              <w:t xml:space="preserve"> may improve access to certain services.</w:t>
            </w:r>
          </w:p>
          <w:p w14:paraId="16D6C405" w14:textId="6C966CF1" w:rsidR="00B26084" w:rsidRPr="00F04FB4" w:rsidRDefault="00C0506B" w:rsidP="00C0506B">
            <w:pPr>
              <w:spacing w:after="120"/>
              <w:rPr>
                <w:color w:val="000000" w:themeColor="text1"/>
              </w:rPr>
            </w:pPr>
            <w:r w:rsidRPr="00157DDB">
              <w:rPr>
                <w:color w:val="000000" w:themeColor="text1"/>
              </w:rPr>
              <w:t xml:space="preserve">The impact of closure on </w:t>
            </w:r>
            <w:r w:rsidRPr="00F04FB4">
              <w:rPr>
                <w:color w:val="000000" w:themeColor="text1"/>
              </w:rPr>
              <w:t xml:space="preserve">children and young people </w:t>
            </w:r>
            <w:r w:rsidRPr="00157DDB">
              <w:rPr>
                <w:color w:val="000000" w:themeColor="text1"/>
              </w:rPr>
              <w:t>in lesser need of support or intervention will be mitigated by the availability of community run services.</w:t>
            </w:r>
          </w:p>
        </w:tc>
      </w:tr>
      <w:tr w:rsidR="00C341FC" w:rsidRPr="009737AE" w14:paraId="16D6C40C" w14:textId="77777777" w:rsidTr="006B66F2">
        <w:tc>
          <w:tcPr>
            <w:tcW w:w="2093" w:type="dxa"/>
          </w:tcPr>
          <w:p w14:paraId="16D6C407" w14:textId="77777777" w:rsidR="00C341FC" w:rsidRPr="00F04FB4" w:rsidRDefault="00C341FC">
            <w:pPr>
              <w:rPr>
                <w:color w:val="000000" w:themeColor="text1"/>
              </w:rPr>
            </w:pPr>
            <w:r w:rsidRPr="00F04FB4">
              <w:rPr>
                <w:color w:val="000000" w:themeColor="text1"/>
              </w:rPr>
              <w:t>Youth Centres</w:t>
            </w:r>
          </w:p>
        </w:tc>
        <w:tc>
          <w:tcPr>
            <w:tcW w:w="2126" w:type="dxa"/>
          </w:tcPr>
          <w:p w14:paraId="16D6C408" w14:textId="77777777" w:rsidR="00C341FC" w:rsidRPr="00F04FB4" w:rsidRDefault="00C341FC" w:rsidP="00E3657A">
            <w:pPr>
              <w:spacing w:after="120"/>
              <w:rPr>
                <w:color w:val="000000" w:themeColor="text1"/>
              </w:rPr>
            </w:pPr>
            <w:r w:rsidRPr="00F04FB4">
              <w:rPr>
                <w:color w:val="000000" w:themeColor="text1"/>
              </w:rPr>
              <w:t>N/a</w:t>
            </w:r>
          </w:p>
        </w:tc>
        <w:tc>
          <w:tcPr>
            <w:tcW w:w="5387" w:type="dxa"/>
          </w:tcPr>
          <w:p w14:paraId="16D6C409" w14:textId="77777777" w:rsidR="00C341FC" w:rsidRPr="00F04FB4" w:rsidRDefault="00C341FC" w:rsidP="00E3657A">
            <w:pPr>
              <w:rPr>
                <w:b/>
                <w:color w:val="000000" w:themeColor="text1"/>
              </w:rPr>
            </w:pPr>
            <w:r w:rsidRPr="00F04FB4">
              <w:rPr>
                <w:b/>
                <w:color w:val="000000" w:themeColor="text1"/>
              </w:rPr>
              <w:t>Gender reassignment</w:t>
            </w:r>
            <w:r w:rsidRPr="00F04FB4">
              <w:rPr>
                <w:b/>
                <w:color w:val="000000" w:themeColor="text1"/>
              </w:rPr>
              <w:tab/>
            </w:r>
          </w:p>
          <w:p w14:paraId="16D6C40A" w14:textId="39366C79" w:rsidR="00C341FC" w:rsidRPr="00F04FB4" w:rsidRDefault="00F04FB4" w:rsidP="00E3657A">
            <w:pPr>
              <w:spacing w:after="120"/>
              <w:rPr>
                <w:color w:val="000000" w:themeColor="text1"/>
              </w:rPr>
            </w:pPr>
            <w:r w:rsidRPr="00F04FB4">
              <w:rPr>
                <w:color w:val="000000" w:themeColor="text1"/>
              </w:rPr>
              <w:t>We received feedback from LGBT young people as part of the consultation, and this is addressed elsewhere in this document.</w:t>
            </w:r>
          </w:p>
        </w:tc>
        <w:tc>
          <w:tcPr>
            <w:tcW w:w="5244" w:type="dxa"/>
          </w:tcPr>
          <w:p w14:paraId="16D6C40B" w14:textId="77777777" w:rsidR="00C341FC" w:rsidRPr="00F04FB4" w:rsidRDefault="00C341FC" w:rsidP="00E3657A">
            <w:pPr>
              <w:spacing w:after="120"/>
              <w:rPr>
                <w:color w:val="000000" w:themeColor="text1"/>
              </w:rPr>
            </w:pPr>
            <w:r w:rsidRPr="00F04FB4">
              <w:rPr>
                <w:color w:val="000000" w:themeColor="text1"/>
              </w:rPr>
              <w:t>N/a</w:t>
            </w:r>
          </w:p>
        </w:tc>
      </w:tr>
      <w:tr w:rsidR="00F04FB4" w:rsidRPr="009737AE" w14:paraId="4C76F52E" w14:textId="77777777" w:rsidTr="006B66F2">
        <w:tc>
          <w:tcPr>
            <w:tcW w:w="2093" w:type="dxa"/>
          </w:tcPr>
          <w:p w14:paraId="65CB10A6" w14:textId="75B781FC" w:rsidR="00F04FB4" w:rsidRPr="009737AE" w:rsidRDefault="00F04FB4">
            <w:pPr>
              <w:rPr>
                <w:color w:val="31849B" w:themeColor="accent5" w:themeShade="BF"/>
              </w:rPr>
            </w:pPr>
            <w:r w:rsidRPr="00F04FB4">
              <w:rPr>
                <w:color w:val="000000" w:themeColor="text1"/>
              </w:rPr>
              <w:t>Youth Centres</w:t>
            </w:r>
          </w:p>
        </w:tc>
        <w:tc>
          <w:tcPr>
            <w:tcW w:w="2126" w:type="dxa"/>
          </w:tcPr>
          <w:p w14:paraId="3A4AA15F" w14:textId="1C02A386" w:rsidR="00F04FB4" w:rsidRPr="009737AE" w:rsidRDefault="00F04FB4" w:rsidP="00E3657A">
            <w:pPr>
              <w:spacing w:after="120"/>
              <w:rPr>
                <w:color w:val="31849B" w:themeColor="accent5" w:themeShade="BF"/>
              </w:rPr>
            </w:pPr>
            <w:r w:rsidRPr="00F04FB4">
              <w:rPr>
                <w:color w:val="000000" w:themeColor="text1"/>
              </w:rPr>
              <w:t>N/a</w:t>
            </w:r>
          </w:p>
        </w:tc>
        <w:tc>
          <w:tcPr>
            <w:tcW w:w="5387" w:type="dxa"/>
          </w:tcPr>
          <w:p w14:paraId="2C4812A3" w14:textId="6F097B2E" w:rsidR="00F04FB4" w:rsidRPr="00F04FB4" w:rsidRDefault="00F04FB4" w:rsidP="00BD4282">
            <w:pPr>
              <w:rPr>
                <w:b/>
                <w:color w:val="000000" w:themeColor="text1"/>
              </w:rPr>
            </w:pPr>
            <w:r>
              <w:rPr>
                <w:b/>
                <w:color w:val="000000" w:themeColor="text1"/>
              </w:rPr>
              <w:t>Sexual Orientation</w:t>
            </w:r>
            <w:r w:rsidRPr="00F04FB4">
              <w:rPr>
                <w:b/>
                <w:color w:val="000000" w:themeColor="text1"/>
              </w:rPr>
              <w:tab/>
            </w:r>
          </w:p>
          <w:p w14:paraId="5C1D9705" w14:textId="63FFD194" w:rsidR="00F04FB4" w:rsidRPr="009737AE" w:rsidRDefault="00F04FB4" w:rsidP="00E3657A">
            <w:pPr>
              <w:rPr>
                <w:b/>
                <w:color w:val="31849B" w:themeColor="accent5" w:themeShade="BF"/>
              </w:rPr>
            </w:pPr>
            <w:r w:rsidRPr="00F04FB4">
              <w:rPr>
                <w:color w:val="000000" w:themeColor="text1"/>
              </w:rPr>
              <w:t>We received feedback from LGBT young people as part of the consultation, and this is addressed elsewhere in this document.</w:t>
            </w:r>
          </w:p>
        </w:tc>
        <w:tc>
          <w:tcPr>
            <w:tcW w:w="5244" w:type="dxa"/>
          </w:tcPr>
          <w:p w14:paraId="76378F07" w14:textId="6817F6DA" w:rsidR="00F04FB4" w:rsidRPr="009737AE" w:rsidRDefault="00F04FB4" w:rsidP="00E3657A">
            <w:pPr>
              <w:spacing w:after="120"/>
              <w:rPr>
                <w:color w:val="31849B" w:themeColor="accent5" w:themeShade="BF"/>
              </w:rPr>
            </w:pPr>
            <w:r w:rsidRPr="00F04FB4">
              <w:rPr>
                <w:color w:val="000000" w:themeColor="text1"/>
              </w:rPr>
              <w:t>N/a</w:t>
            </w:r>
          </w:p>
        </w:tc>
      </w:tr>
      <w:tr w:rsidR="00C341FC" w:rsidRPr="009737AE" w14:paraId="16D6C412" w14:textId="77777777" w:rsidTr="006B66F2">
        <w:tc>
          <w:tcPr>
            <w:tcW w:w="2093" w:type="dxa"/>
          </w:tcPr>
          <w:p w14:paraId="16D6C40D" w14:textId="77777777" w:rsidR="00C341FC" w:rsidRPr="00F04FB4" w:rsidRDefault="00C341FC">
            <w:pPr>
              <w:rPr>
                <w:color w:val="000000" w:themeColor="text1"/>
              </w:rPr>
            </w:pPr>
            <w:r w:rsidRPr="00F04FB4">
              <w:rPr>
                <w:color w:val="000000" w:themeColor="text1"/>
              </w:rPr>
              <w:lastRenderedPageBreak/>
              <w:t>Youth Centres</w:t>
            </w:r>
          </w:p>
        </w:tc>
        <w:tc>
          <w:tcPr>
            <w:tcW w:w="2126" w:type="dxa"/>
          </w:tcPr>
          <w:p w14:paraId="16D6C40E" w14:textId="77777777" w:rsidR="00C341FC" w:rsidRPr="00F04FB4" w:rsidRDefault="00C341FC" w:rsidP="00E3657A">
            <w:pPr>
              <w:spacing w:after="120"/>
              <w:rPr>
                <w:color w:val="000000" w:themeColor="text1"/>
              </w:rPr>
            </w:pPr>
            <w:r w:rsidRPr="00F04FB4">
              <w:rPr>
                <w:color w:val="000000" w:themeColor="text1"/>
              </w:rPr>
              <w:t>N/a</w:t>
            </w:r>
          </w:p>
        </w:tc>
        <w:tc>
          <w:tcPr>
            <w:tcW w:w="5387" w:type="dxa"/>
          </w:tcPr>
          <w:p w14:paraId="16D6C40F" w14:textId="77777777" w:rsidR="00C341FC" w:rsidRPr="00F04FB4" w:rsidRDefault="00C341FC" w:rsidP="00E3657A">
            <w:pPr>
              <w:rPr>
                <w:b/>
                <w:color w:val="000000" w:themeColor="text1"/>
              </w:rPr>
            </w:pPr>
            <w:r w:rsidRPr="00F04FB4">
              <w:rPr>
                <w:b/>
                <w:color w:val="000000" w:themeColor="text1"/>
              </w:rPr>
              <w:t>Marriage and Civil Partnership</w:t>
            </w:r>
          </w:p>
          <w:p w14:paraId="16D6C410" w14:textId="53CD3C21" w:rsidR="00C341FC" w:rsidRPr="00F04FB4" w:rsidRDefault="00C341FC" w:rsidP="00E3657A">
            <w:pPr>
              <w:spacing w:after="120"/>
              <w:rPr>
                <w:color w:val="000000" w:themeColor="text1"/>
              </w:rPr>
            </w:pPr>
            <w:r w:rsidRPr="00F04FB4">
              <w:rPr>
                <w:color w:val="000000" w:themeColor="text1"/>
              </w:rPr>
              <w:t>We do not foresee any impact on this</w:t>
            </w:r>
            <w:r w:rsidR="008C0246" w:rsidRPr="00F04FB4">
              <w:rPr>
                <w:color w:val="000000" w:themeColor="text1"/>
              </w:rPr>
              <w:t xml:space="preserve"> </w:t>
            </w:r>
            <w:r w:rsidRPr="00F04FB4">
              <w:rPr>
                <w:color w:val="000000" w:themeColor="text1"/>
              </w:rPr>
              <w:t>group.</w:t>
            </w:r>
          </w:p>
        </w:tc>
        <w:tc>
          <w:tcPr>
            <w:tcW w:w="5244" w:type="dxa"/>
          </w:tcPr>
          <w:p w14:paraId="16D6C411" w14:textId="77777777" w:rsidR="00C341FC" w:rsidRPr="00F04FB4" w:rsidRDefault="00C341FC" w:rsidP="00E3657A">
            <w:pPr>
              <w:spacing w:after="120"/>
              <w:rPr>
                <w:color w:val="000000" w:themeColor="text1"/>
              </w:rPr>
            </w:pPr>
            <w:r w:rsidRPr="00F04FB4">
              <w:rPr>
                <w:color w:val="000000" w:themeColor="text1"/>
              </w:rPr>
              <w:t>N/a</w:t>
            </w:r>
          </w:p>
        </w:tc>
      </w:tr>
    </w:tbl>
    <w:p w14:paraId="1AF0C83B" w14:textId="5B109491" w:rsidR="00F04FB4" w:rsidRDefault="00F04FB4">
      <w:pPr>
        <w:rPr>
          <w:b/>
          <w:sz w:val="28"/>
          <w:szCs w:val="28"/>
        </w:rPr>
      </w:pPr>
    </w:p>
    <w:p w14:paraId="5FCEE3D5" w14:textId="2DD32A8F" w:rsidR="004922D0" w:rsidRPr="00585461" w:rsidRDefault="00435258" w:rsidP="00585461">
      <w:pPr>
        <w:spacing w:before="360" w:line="240" w:lineRule="auto"/>
        <w:rPr>
          <w:b/>
          <w:sz w:val="32"/>
          <w:szCs w:val="32"/>
        </w:rPr>
      </w:pPr>
      <w:r>
        <w:rPr>
          <w:b/>
          <w:sz w:val="32"/>
          <w:szCs w:val="32"/>
        </w:rPr>
        <w:t>SITE-SPECIFIC</w:t>
      </w:r>
      <w:r w:rsidR="00C0506B">
        <w:rPr>
          <w:b/>
          <w:sz w:val="32"/>
          <w:szCs w:val="32"/>
        </w:rPr>
        <w:t xml:space="preserve"> ISSUES</w:t>
      </w:r>
    </w:p>
    <w:p w14:paraId="1F074F1A" w14:textId="77777777" w:rsidR="004922D0" w:rsidRPr="00BB1E57" w:rsidRDefault="004922D0" w:rsidP="004922D0">
      <w:pPr>
        <w:spacing w:after="120" w:line="240" w:lineRule="auto"/>
        <w:rPr>
          <w:b/>
          <w:sz w:val="28"/>
          <w:szCs w:val="28"/>
        </w:rPr>
      </w:pPr>
      <w:r w:rsidRPr="00071D8E">
        <w:rPr>
          <w:b/>
          <w:sz w:val="28"/>
          <w:szCs w:val="28"/>
        </w:rPr>
        <w:t>BATLEY AND SPEN</w:t>
      </w:r>
    </w:p>
    <w:tbl>
      <w:tblPr>
        <w:tblStyle w:val="TableGrid"/>
        <w:tblW w:w="14850" w:type="dxa"/>
        <w:tblLook w:val="04A0" w:firstRow="1" w:lastRow="0" w:firstColumn="1" w:lastColumn="0" w:noHBand="0" w:noVBand="1"/>
      </w:tblPr>
      <w:tblGrid>
        <w:gridCol w:w="2093"/>
        <w:gridCol w:w="2126"/>
        <w:gridCol w:w="5387"/>
        <w:gridCol w:w="5244"/>
      </w:tblGrid>
      <w:tr w:rsidR="004922D0" w:rsidRPr="004922D0" w14:paraId="40481B2A" w14:textId="77777777" w:rsidTr="00BD4282">
        <w:trPr>
          <w:tblHeader/>
        </w:trPr>
        <w:tc>
          <w:tcPr>
            <w:tcW w:w="2093" w:type="dxa"/>
          </w:tcPr>
          <w:p w14:paraId="7672616C" w14:textId="77777777" w:rsidR="004922D0" w:rsidRPr="004922D0" w:rsidRDefault="004922D0" w:rsidP="00BD4282">
            <w:pPr>
              <w:rPr>
                <w:b/>
              </w:rPr>
            </w:pPr>
            <w:r w:rsidRPr="004922D0">
              <w:rPr>
                <w:b/>
              </w:rPr>
              <w:t>Site</w:t>
            </w:r>
          </w:p>
        </w:tc>
        <w:tc>
          <w:tcPr>
            <w:tcW w:w="2126" w:type="dxa"/>
          </w:tcPr>
          <w:p w14:paraId="1D10694B" w14:textId="77777777" w:rsidR="004922D0" w:rsidRPr="004922D0" w:rsidRDefault="004922D0" w:rsidP="00BD4282">
            <w:pPr>
              <w:rPr>
                <w:b/>
              </w:rPr>
            </w:pPr>
            <w:r w:rsidRPr="004922D0">
              <w:rPr>
                <w:b/>
              </w:rPr>
              <w:t>Proposal</w:t>
            </w:r>
          </w:p>
        </w:tc>
        <w:tc>
          <w:tcPr>
            <w:tcW w:w="5387" w:type="dxa"/>
          </w:tcPr>
          <w:p w14:paraId="19A41BDE" w14:textId="77777777" w:rsidR="004922D0" w:rsidRPr="004922D0" w:rsidRDefault="004922D0" w:rsidP="00BD4282">
            <w:pPr>
              <w:rPr>
                <w:b/>
              </w:rPr>
            </w:pPr>
            <w:r w:rsidRPr="004922D0">
              <w:rPr>
                <w:b/>
              </w:rPr>
              <w:t xml:space="preserve">Impact on groups of Kirklees residents with protected characteristics </w:t>
            </w:r>
          </w:p>
        </w:tc>
        <w:tc>
          <w:tcPr>
            <w:tcW w:w="5244" w:type="dxa"/>
          </w:tcPr>
          <w:p w14:paraId="47CDE146" w14:textId="77777777" w:rsidR="004922D0" w:rsidRPr="004922D0" w:rsidRDefault="004922D0" w:rsidP="00BD4282">
            <w:pPr>
              <w:rPr>
                <w:b/>
              </w:rPr>
            </w:pPr>
            <w:r w:rsidRPr="004922D0">
              <w:rPr>
                <w:b/>
              </w:rPr>
              <w:t>Mitigation</w:t>
            </w:r>
          </w:p>
        </w:tc>
      </w:tr>
      <w:tr w:rsidR="004922D0" w:rsidRPr="004922D0" w14:paraId="17BCC984" w14:textId="77777777" w:rsidTr="00BD4282">
        <w:tc>
          <w:tcPr>
            <w:tcW w:w="2093" w:type="dxa"/>
          </w:tcPr>
          <w:p w14:paraId="2946E0D8" w14:textId="77777777" w:rsidR="004922D0" w:rsidRPr="004922D0" w:rsidRDefault="004922D0" w:rsidP="00BD4282">
            <w:pPr>
              <w:spacing w:after="120"/>
            </w:pPr>
            <w:r w:rsidRPr="004922D0">
              <w:t>Batley Town Hall</w:t>
            </w:r>
          </w:p>
        </w:tc>
        <w:tc>
          <w:tcPr>
            <w:tcW w:w="2126" w:type="dxa"/>
          </w:tcPr>
          <w:p w14:paraId="1F2C75FE" w14:textId="77777777" w:rsidR="004922D0" w:rsidRPr="004922D0" w:rsidRDefault="004922D0" w:rsidP="00BD4282">
            <w:pPr>
              <w:spacing w:after="120"/>
            </w:pPr>
            <w:r w:rsidRPr="004922D0">
              <w:t>Central site</w:t>
            </w:r>
          </w:p>
        </w:tc>
        <w:tc>
          <w:tcPr>
            <w:tcW w:w="5387" w:type="dxa"/>
          </w:tcPr>
          <w:p w14:paraId="07B75B9B" w14:textId="77777777" w:rsidR="004922D0" w:rsidRPr="004922D0" w:rsidRDefault="004922D0" w:rsidP="00BD4282">
            <w:pPr>
              <w:rPr>
                <w:b/>
              </w:rPr>
            </w:pPr>
            <w:r w:rsidRPr="004922D0">
              <w:rPr>
                <w:b/>
              </w:rPr>
              <w:t>Age</w:t>
            </w:r>
          </w:p>
          <w:p w14:paraId="204203FB" w14:textId="77777777" w:rsidR="004922D0" w:rsidRPr="004922D0" w:rsidRDefault="004922D0" w:rsidP="00BD4282">
            <w:r w:rsidRPr="004922D0">
              <w:rPr>
                <w:b/>
              </w:rPr>
              <w:t>Gender reassignment</w:t>
            </w:r>
            <w:r w:rsidRPr="004922D0">
              <w:t xml:space="preserve"> </w:t>
            </w:r>
          </w:p>
          <w:p w14:paraId="1F9F7047" w14:textId="77777777" w:rsidR="004922D0" w:rsidRPr="004922D0" w:rsidRDefault="004922D0" w:rsidP="00BD4282">
            <w:pPr>
              <w:rPr>
                <w:b/>
              </w:rPr>
            </w:pPr>
            <w:r w:rsidRPr="004922D0">
              <w:rPr>
                <w:b/>
              </w:rPr>
              <w:t>Marriage and Civil Partnership</w:t>
            </w:r>
          </w:p>
          <w:p w14:paraId="42A32132" w14:textId="77777777" w:rsidR="004922D0" w:rsidRPr="004922D0" w:rsidRDefault="004922D0" w:rsidP="00BD4282">
            <w:pPr>
              <w:rPr>
                <w:b/>
              </w:rPr>
            </w:pPr>
            <w:r w:rsidRPr="004922D0">
              <w:rPr>
                <w:b/>
              </w:rPr>
              <w:t>Pregnancy and Maternity</w:t>
            </w:r>
          </w:p>
          <w:p w14:paraId="073D46FF" w14:textId="77777777" w:rsidR="004922D0" w:rsidRPr="004922D0" w:rsidRDefault="004922D0" w:rsidP="00BD4282">
            <w:pPr>
              <w:rPr>
                <w:b/>
              </w:rPr>
            </w:pPr>
            <w:r w:rsidRPr="004922D0">
              <w:rPr>
                <w:b/>
              </w:rPr>
              <w:t>Sex</w:t>
            </w:r>
          </w:p>
          <w:p w14:paraId="54D95138" w14:textId="77777777" w:rsidR="004922D0" w:rsidRPr="004922D0" w:rsidRDefault="004922D0" w:rsidP="00BD4282">
            <w:pPr>
              <w:rPr>
                <w:b/>
              </w:rPr>
            </w:pPr>
            <w:r w:rsidRPr="004922D0">
              <w:rPr>
                <w:b/>
              </w:rPr>
              <w:t>Sexual Orientation</w:t>
            </w:r>
          </w:p>
          <w:p w14:paraId="300DAE1B" w14:textId="77777777" w:rsidR="004922D0" w:rsidRPr="004922D0" w:rsidRDefault="004922D0" w:rsidP="00BD4282">
            <w:r w:rsidRPr="004922D0">
              <w:t>Not site-specific</w:t>
            </w:r>
          </w:p>
        </w:tc>
        <w:tc>
          <w:tcPr>
            <w:tcW w:w="5244" w:type="dxa"/>
          </w:tcPr>
          <w:p w14:paraId="17DD16B5" w14:textId="77777777" w:rsidR="004922D0" w:rsidRPr="004922D0" w:rsidRDefault="004922D0" w:rsidP="00BD4282">
            <w:pPr>
              <w:spacing w:after="120"/>
            </w:pPr>
            <w:r w:rsidRPr="004922D0">
              <w:t>N/a</w:t>
            </w:r>
          </w:p>
        </w:tc>
      </w:tr>
      <w:tr w:rsidR="004922D0" w:rsidRPr="004922D0" w14:paraId="1991171A" w14:textId="77777777" w:rsidTr="00BD4282">
        <w:tc>
          <w:tcPr>
            <w:tcW w:w="2093" w:type="dxa"/>
          </w:tcPr>
          <w:p w14:paraId="408B836D" w14:textId="77777777" w:rsidR="004922D0" w:rsidRPr="004922D0" w:rsidRDefault="004922D0" w:rsidP="00BD4282">
            <w:pPr>
              <w:spacing w:after="120"/>
            </w:pPr>
          </w:p>
        </w:tc>
        <w:tc>
          <w:tcPr>
            <w:tcW w:w="2126" w:type="dxa"/>
          </w:tcPr>
          <w:p w14:paraId="433DC876" w14:textId="77777777" w:rsidR="004922D0" w:rsidRPr="004922D0" w:rsidRDefault="004922D0" w:rsidP="00BD4282">
            <w:pPr>
              <w:spacing w:after="120"/>
            </w:pPr>
          </w:p>
        </w:tc>
        <w:tc>
          <w:tcPr>
            <w:tcW w:w="5387" w:type="dxa"/>
          </w:tcPr>
          <w:p w14:paraId="344024DE" w14:textId="77777777" w:rsidR="004922D0" w:rsidRPr="004922D0" w:rsidRDefault="004922D0" w:rsidP="00BD4282">
            <w:pPr>
              <w:rPr>
                <w:b/>
              </w:rPr>
            </w:pPr>
            <w:r w:rsidRPr="004922D0">
              <w:rPr>
                <w:b/>
              </w:rPr>
              <w:t xml:space="preserve">Race, Religion and belief </w:t>
            </w:r>
          </w:p>
          <w:p w14:paraId="1BD335DD" w14:textId="77777777" w:rsidR="004922D0" w:rsidRPr="004922D0" w:rsidRDefault="004922D0" w:rsidP="00BD4282">
            <w:pPr>
              <w:rPr>
                <w:b/>
              </w:rPr>
            </w:pPr>
            <w:r w:rsidRPr="004922D0">
              <w:t>Batley Town Hall is in a town centre location and we therefore do not foresee any impact on this group.</w:t>
            </w:r>
          </w:p>
        </w:tc>
        <w:tc>
          <w:tcPr>
            <w:tcW w:w="5244" w:type="dxa"/>
          </w:tcPr>
          <w:p w14:paraId="10C61144" w14:textId="77777777" w:rsidR="004922D0" w:rsidRPr="004922D0" w:rsidRDefault="004922D0" w:rsidP="00BD4282">
            <w:pPr>
              <w:spacing w:after="120"/>
            </w:pPr>
            <w:r w:rsidRPr="004922D0">
              <w:t>N/a</w:t>
            </w:r>
          </w:p>
        </w:tc>
      </w:tr>
      <w:tr w:rsidR="004922D0" w:rsidRPr="004922D0" w14:paraId="3D106970" w14:textId="77777777" w:rsidTr="00BD4282">
        <w:tc>
          <w:tcPr>
            <w:tcW w:w="2093" w:type="dxa"/>
          </w:tcPr>
          <w:p w14:paraId="6E2FF92A" w14:textId="77777777" w:rsidR="004922D0" w:rsidRPr="004922D0" w:rsidRDefault="004922D0" w:rsidP="00BD4282">
            <w:pPr>
              <w:spacing w:after="120"/>
            </w:pPr>
          </w:p>
        </w:tc>
        <w:tc>
          <w:tcPr>
            <w:tcW w:w="2126" w:type="dxa"/>
          </w:tcPr>
          <w:p w14:paraId="4176AD5B" w14:textId="77777777" w:rsidR="004922D0" w:rsidRPr="004922D0" w:rsidRDefault="004922D0" w:rsidP="00BD4282">
            <w:pPr>
              <w:spacing w:after="120"/>
            </w:pPr>
          </w:p>
        </w:tc>
        <w:tc>
          <w:tcPr>
            <w:tcW w:w="5387" w:type="dxa"/>
          </w:tcPr>
          <w:p w14:paraId="00E54185" w14:textId="77777777" w:rsidR="004922D0" w:rsidRPr="004922D0" w:rsidRDefault="004922D0" w:rsidP="00BD4282">
            <w:pPr>
              <w:rPr>
                <w:b/>
              </w:rPr>
            </w:pPr>
            <w:r w:rsidRPr="004922D0">
              <w:rPr>
                <w:b/>
              </w:rPr>
              <w:t>Disability</w:t>
            </w:r>
          </w:p>
          <w:p w14:paraId="760F4D66" w14:textId="77777777" w:rsidR="004922D0" w:rsidRPr="004922D0" w:rsidRDefault="004922D0" w:rsidP="00BD4282">
            <w:pPr>
              <w:rPr>
                <w:b/>
              </w:rPr>
            </w:pPr>
            <w:r w:rsidRPr="004922D0">
              <w:rPr>
                <w:b/>
              </w:rPr>
              <w:t>People on low incomes</w:t>
            </w:r>
          </w:p>
          <w:p w14:paraId="44194A33" w14:textId="77777777" w:rsidR="004922D0" w:rsidRPr="004922D0" w:rsidRDefault="004922D0" w:rsidP="00BD4282">
            <w:pPr>
              <w:rPr>
                <w:b/>
              </w:rPr>
            </w:pPr>
            <w:r w:rsidRPr="004922D0">
              <w:rPr>
                <w:b/>
              </w:rPr>
              <w:t>Parents of young children</w:t>
            </w:r>
          </w:p>
          <w:p w14:paraId="19406D8E" w14:textId="77777777" w:rsidR="004922D0" w:rsidRPr="004922D0" w:rsidRDefault="004922D0" w:rsidP="00BD4282">
            <w:r w:rsidRPr="004922D0">
              <w:t xml:space="preserve">There may be an impact on these groups if they need to travel to the central site to access information or advice. </w:t>
            </w:r>
          </w:p>
        </w:tc>
        <w:tc>
          <w:tcPr>
            <w:tcW w:w="5244" w:type="dxa"/>
          </w:tcPr>
          <w:p w14:paraId="57B7B10F" w14:textId="77777777" w:rsidR="004922D0" w:rsidRPr="004922D0" w:rsidRDefault="004922D0" w:rsidP="00BD4282">
            <w:pPr>
              <w:spacing w:after="120"/>
            </w:pPr>
            <w:r w:rsidRPr="004922D0">
              <w:t>See transport analysis</w:t>
            </w:r>
          </w:p>
        </w:tc>
      </w:tr>
      <w:tr w:rsidR="004922D0" w:rsidRPr="004922D0" w14:paraId="21BBF996" w14:textId="77777777" w:rsidTr="00BD4282">
        <w:tc>
          <w:tcPr>
            <w:tcW w:w="2093" w:type="dxa"/>
          </w:tcPr>
          <w:p w14:paraId="39A9B120" w14:textId="77777777" w:rsidR="004922D0" w:rsidRPr="004922D0" w:rsidRDefault="004922D0" w:rsidP="00BD4282">
            <w:pPr>
              <w:spacing w:after="120"/>
            </w:pPr>
            <w:r w:rsidRPr="004922D0">
              <w:t>Birstall and Birkenshaw Children’s Centre (Fieldhead)</w:t>
            </w:r>
          </w:p>
        </w:tc>
        <w:tc>
          <w:tcPr>
            <w:tcW w:w="2126" w:type="dxa"/>
          </w:tcPr>
          <w:p w14:paraId="3DFCDE62" w14:textId="77777777" w:rsidR="004922D0" w:rsidRPr="004922D0" w:rsidRDefault="004922D0" w:rsidP="00BD4282">
            <w:pPr>
              <w:spacing w:after="120"/>
            </w:pPr>
            <w:r w:rsidRPr="004922D0">
              <w:t>Designated children’s centre for the Batley and Spen area, and delivery site</w:t>
            </w:r>
          </w:p>
        </w:tc>
        <w:tc>
          <w:tcPr>
            <w:tcW w:w="5387" w:type="dxa"/>
          </w:tcPr>
          <w:p w14:paraId="28EC3390" w14:textId="77777777" w:rsidR="004922D0" w:rsidRPr="004922D0" w:rsidRDefault="004922D0" w:rsidP="00BD4282">
            <w:r w:rsidRPr="004922D0">
              <w:t>This is an existing Children’s Centre and we therefore do not anticipate any negative impact on groups of residents with protected characteristics.</w:t>
            </w:r>
          </w:p>
        </w:tc>
        <w:tc>
          <w:tcPr>
            <w:tcW w:w="5244" w:type="dxa"/>
          </w:tcPr>
          <w:p w14:paraId="0882EC9D" w14:textId="77777777" w:rsidR="004922D0" w:rsidRPr="004922D0" w:rsidRDefault="004922D0" w:rsidP="00BD4282">
            <w:pPr>
              <w:spacing w:after="120"/>
            </w:pPr>
            <w:r w:rsidRPr="004922D0">
              <w:t>N/a</w:t>
            </w:r>
          </w:p>
        </w:tc>
      </w:tr>
      <w:tr w:rsidR="004922D0" w:rsidRPr="004922D0" w14:paraId="4F4BBF4D" w14:textId="77777777" w:rsidTr="00BD4282">
        <w:tc>
          <w:tcPr>
            <w:tcW w:w="2093" w:type="dxa"/>
          </w:tcPr>
          <w:p w14:paraId="445D2525" w14:textId="5A75E28C" w:rsidR="004922D0" w:rsidRPr="004922D0" w:rsidRDefault="004922D0" w:rsidP="00BD4282">
            <w:pPr>
              <w:spacing w:after="120"/>
            </w:pPr>
            <w:r w:rsidRPr="004922D0">
              <w:t>All other sites</w:t>
            </w:r>
          </w:p>
        </w:tc>
        <w:tc>
          <w:tcPr>
            <w:tcW w:w="2126" w:type="dxa"/>
          </w:tcPr>
          <w:p w14:paraId="4466E3B1" w14:textId="02258864" w:rsidR="004922D0" w:rsidRPr="004922D0" w:rsidRDefault="004922D0" w:rsidP="00BD4282">
            <w:pPr>
              <w:spacing w:after="120"/>
            </w:pPr>
            <w:r w:rsidRPr="004922D0">
              <w:t>Surplus to requirements</w:t>
            </w:r>
            <w:r w:rsidR="00EB7023">
              <w:t xml:space="preserve"> in the </w:t>
            </w:r>
            <w:r w:rsidR="00EB7023">
              <w:lastRenderedPageBreak/>
              <w:t>model</w:t>
            </w:r>
          </w:p>
        </w:tc>
        <w:tc>
          <w:tcPr>
            <w:tcW w:w="5387" w:type="dxa"/>
          </w:tcPr>
          <w:p w14:paraId="481ED996" w14:textId="77777777" w:rsidR="004922D0" w:rsidRPr="004922D0" w:rsidRDefault="004922D0" w:rsidP="00BD4282">
            <w:pPr>
              <w:rPr>
                <w:b/>
              </w:rPr>
            </w:pPr>
            <w:r w:rsidRPr="004922D0">
              <w:rPr>
                <w:b/>
              </w:rPr>
              <w:lastRenderedPageBreak/>
              <w:t>Age</w:t>
            </w:r>
          </w:p>
          <w:p w14:paraId="628E2A87" w14:textId="77777777" w:rsidR="004922D0" w:rsidRPr="004922D0" w:rsidRDefault="004922D0" w:rsidP="00BD4282">
            <w:r w:rsidRPr="004922D0">
              <w:rPr>
                <w:b/>
              </w:rPr>
              <w:t>Gender reassignment</w:t>
            </w:r>
            <w:r w:rsidRPr="004922D0">
              <w:t xml:space="preserve"> </w:t>
            </w:r>
          </w:p>
          <w:p w14:paraId="0302717C" w14:textId="77777777" w:rsidR="004922D0" w:rsidRPr="004922D0" w:rsidRDefault="004922D0" w:rsidP="00BD4282">
            <w:pPr>
              <w:rPr>
                <w:b/>
              </w:rPr>
            </w:pPr>
            <w:r w:rsidRPr="004922D0">
              <w:rPr>
                <w:b/>
              </w:rPr>
              <w:lastRenderedPageBreak/>
              <w:t>Marriage and Civil Partnership</w:t>
            </w:r>
          </w:p>
          <w:p w14:paraId="0FC85FDE" w14:textId="77777777" w:rsidR="004922D0" w:rsidRPr="004922D0" w:rsidRDefault="004922D0" w:rsidP="00BD4282">
            <w:pPr>
              <w:rPr>
                <w:b/>
              </w:rPr>
            </w:pPr>
            <w:r w:rsidRPr="004922D0">
              <w:rPr>
                <w:b/>
              </w:rPr>
              <w:t>Pregnancy and Maternity</w:t>
            </w:r>
          </w:p>
          <w:p w14:paraId="15127583" w14:textId="77777777" w:rsidR="004922D0" w:rsidRPr="004922D0" w:rsidRDefault="004922D0" w:rsidP="00BD4282">
            <w:pPr>
              <w:rPr>
                <w:b/>
              </w:rPr>
            </w:pPr>
            <w:r w:rsidRPr="004922D0">
              <w:rPr>
                <w:b/>
              </w:rPr>
              <w:t>Sex</w:t>
            </w:r>
          </w:p>
          <w:p w14:paraId="0032CD01" w14:textId="77777777" w:rsidR="004922D0" w:rsidRPr="004922D0" w:rsidRDefault="004922D0" w:rsidP="00BD4282">
            <w:pPr>
              <w:rPr>
                <w:b/>
              </w:rPr>
            </w:pPr>
            <w:r w:rsidRPr="004922D0">
              <w:rPr>
                <w:b/>
              </w:rPr>
              <w:t>Sexual Orientation</w:t>
            </w:r>
          </w:p>
          <w:p w14:paraId="3A39E2AE" w14:textId="37EF4B7F" w:rsidR="004922D0" w:rsidRPr="004922D0" w:rsidRDefault="004922D0" w:rsidP="00BD4282">
            <w:pPr>
              <w:spacing w:after="120"/>
              <w:rPr>
                <w:color w:val="215868" w:themeColor="accent5" w:themeShade="80"/>
              </w:rPr>
            </w:pPr>
            <w:r w:rsidRPr="004922D0">
              <w:t>Not site-specific</w:t>
            </w:r>
          </w:p>
        </w:tc>
        <w:tc>
          <w:tcPr>
            <w:tcW w:w="5244" w:type="dxa"/>
          </w:tcPr>
          <w:p w14:paraId="59B9FDD5" w14:textId="72302073" w:rsidR="004922D0" w:rsidRPr="004922D0" w:rsidRDefault="004922D0" w:rsidP="00BD4282">
            <w:pPr>
              <w:rPr>
                <w:color w:val="215868" w:themeColor="accent5" w:themeShade="80"/>
              </w:rPr>
            </w:pPr>
            <w:r w:rsidRPr="004922D0">
              <w:lastRenderedPageBreak/>
              <w:t>N/a</w:t>
            </w:r>
          </w:p>
        </w:tc>
      </w:tr>
      <w:tr w:rsidR="004922D0" w:rsidRPr="004922D0" w14:paraId="53331080" w14:textId="77777777" w:rsidTr="00BD4282">
        <w:tc>
          <w:tcPr>
            <w:tcW w:w="2093" w:type="dxa"/>
          </w:tcPr>
          <w:p w14:paraId="67F5C9D3" w14:textId="77777777" w:rsidR="004922D0" w:rsidRPr="004922D0" w:rsidRDefault="004922D0" w:rsidP="00BD4282">
            <w:pPr>
              <w:spacing w:after="120"/>
              <w:rPr>
                <w:color w:val="215868" w:themeColor="accent5" w:themeShade="80"/>
              </w:rPr>
            </w:pPr>
          </w:p>
        </w:tc>
        <w:tc>
          <w:tcPr>
            <w:tcW w:w="2126" w:type="dxa"/>
          </w:tcPr>
          <w:p w14:paraId="5B4C83EF" w14:textId="77777777" w:rsidR="004922D0" w:rsidRPr="004922D0" w:rsidRDefault="004922D0" w:rsidP="00BD4282">
            <w:pPr>
              <w:spacing w:after="120"/>
              <w:rPr>
                <w:color w:val="215868" w:themeColor="accent5" w:themeShade="80"/>
              </w:rPr>
            </w:pPr>
          </w:p>
        </w:tc>
        <w:tc>
          <w:tcPr>
            <w:tcW w:w="5387" w:type="dxa"/>
          </w:tcPr>
          <w:p w14:paraId="7C407E09" w14:textId="77777777" w:rsidR="004922D0" w:rsidRPr="004922D0" w:rsidRDefault="004922D0" w:rsidP="00BD4282">
            <w:pPr>
              <w:rPr>
                <w:b/>
              </w:rPr>
            </w:pPr>
            <w:r w:rsidRPr="004922D0">
              <w:rPr>
                <w:b/>
              </w:rPr>
              <w:t>Disability</w:t>
            </w:r>
          </w:p>
          <w:p w14:paraId="038E7B3D" w14:textId="77777777" w:rsidR="004922D0" w:rsidRPr="004922D0" w:rsidRDefault="004922D0" w:rsidP="004922D0">
            <w:pPr>
              <w:rPr>
                <w:b/>
              </w:rPr>
            </w:pPr>
            <w:r w:rsidRPr="004922D0">
              <w:rPr>
                <w:b/>
              </w:rPr>
              <w:t xml:space="preserve">Race, Religion and belief </w:t>
            </w:r>
          </w:p>
          <w:p w14:paraId="513022A8" w14:textId="77777777" w:rsidR="004922D0" w:rsidRPr="004922D0" w:rsidRDefault="004922D0" w:rsidP="00BD4282">
            <w:pPr>
              <w:rPr>
                <w:b/>
              </w:rPr>
            </w:pPr>
            <w:r w:rsidRPr="004922D0">
              <w:rPr>
                <w:b/>
              </w:rPr>
              <w:t>People on low incomes</w:t>
            </w:r>
          </w:p>
          <w:p w14:paraId="3EAE612C" w14:textId="77777777" w:rsidR="004922D0" w:rsidRPr="004922D0" w:rsidRDefault="004922D0" w:rsidP="00BD4282">
            <w:pPr>
              <w:rPr>
                <w:b/>
              </w:rPr>
            </w:pPr>
            <w:r w:rsidRPr="004922D0">
              <w:rPr>
                <w:b/>
              </w:rPr>
              <w:t>Parents of young children</w:t>
            </w:r>
          </w:p>
          <w:p w14:paraId="216E5153" w14:textId="0835635F" w:rsidR="004922D0" w:rsidRPr="004922D0" w:rsidRDefault="00EB7023" w:rsidP="00BD4282">
            <w:pPr>
              <w:spacing w:after="120"/>
              <w:rPr>
                <w:color w:val="215868" w:themeColor="accent5" w:themeShade="80"/>
              </w:rPr>
            </w:pPr>
            <w:r w:rsidRPr="00EB7023">
              <w:t>There may be an impact on these groups if they need to travel to other sites to access information or advice.</w:t>
            </w:r>
          </w:p>
        </w:tc>
        <w:tc>
          <w:tcPr>
            <w:tcW w:w="5244" w:type="dxa"/>
          </w:tcPr>
          <w:p w14:paraId="2032AD67" w14:textId="24BDE687" w:rsidR="004922D0" w:rsidRPr="004922D0" w:rsidRDefault="004922D0" w:rsidP="00BD4282">
            <w:pPr>
              <w:rPr>
                <w:color w:val="215868" w:themeColor="accent5" w:themeShade="80"/>
              </w:rPr>
            </w:pPr>
            <w:r w:rsidRPr="004922D0">
              <w:t>See transport analysis</w:t>
            </w:r>
          </w:p>
        </w:tc>
      </w:tr>
    </w:tbl>
    <w:p w14:paraId="58EC615D" w14:textId="543E6637" w:rsidR="004922D0" w:rsidRPr="00BB1E57" w:rsidRDefault="004922D0" w:rsidP="004922D0">
      <w:pPr>
        <w:spacing w:before="600" w:line="240" w:lineRule="auto"/>
        <w:rPr>
          <w:b/>
          <w:sz w:val="28"/>
          <w:szCs w:val="28"/>
        </w:rPr>
      </w:pPr>
      <w:r w:rsidRPr="00071D8E">
        <w:rPr>
          <w:b/>
          <w:sz w:val="28"/>
          <w:szCs w:val="28"/>
        </w:rPr>
        <w:t>DEWSBURY AND MIRFIELD</w:t>
      </w:r>
    </w:p>
    <w:tbl>
      <w:tblPr>
        <w:tblStyle w:val="TableGrid"/>
        <w:tblW w:w="14788" w:type="dxa"/>
        <w:tblLook w:val="04A0" w:firstRow="1" w:lastRow="0" w:firstColumn="1" w:lastColumn="0" w:noHBand="0" w:noVBand="1"/>
      </w:tblPr>
      <w:tblGrid>
        <w:gridCol w:w="2081"/>
        <w:gridCol w:w="2111"/>
        <w:gridCol w:w="5310"/>
        <w:gridCol w:w="5286"/>
      </w:tblGrid>
      <w:tr w:rsidR="004922D0" w:rsidRPr="000266FE" w14:paraId="4211754B" w14:textId="77777777" w:rsidTr="00BD4282">
        <w:trPr>
          <w:tblHeader/>
        </w:trPr>
        <w:tc>
          <w:tcPr>
            <w:tcW w:w="2081" w:type="dxa"/>
          </w:tcPr>
          <w:p w14:paraId="7F60105C" w14:textId="77777777" w:rsidR="004922D0" w:rsidRPr="000266FE" w:rsidRDefault="004922D0" w:rsidP="00BD4282">
            <w:pPr>
              <w:rPr>
                <w:b/>
              </w:rPr>
            </w:pPr>
            <w:r w:rsidRPr="000266FE">
              <w:rPr>
                <w:b/>
              </w:rPr>
              <w:t>Site</w:t>
            </w:r>
          </w:p>
        </w:tc>
        <w:tc>
          <w:tcPr>
            <w:tcW w:w="2111" w:type="dxa"/>
          </w:tcPr>
          <w:p w14:paraId="2360A8FD" w14:textId="77777777" w:rsidR="004922D0" w:rsidRPr="000266FE" w:rsidRDefault="004922D0" w:rsidP="00BD4282">
            <w:pPr>
              <w:rPr>
                <w:b/>
              </w:rPr>
            </w:pPr>
            <w:r w:rsidRPr="000266FE">
              <w:rPr>
                <w:b/>
              </w:rPr>
              <w:t>Proposal</w:t>
            </w:r>
          </w:p>
        </w:tc>
        <w:tc>
          <w:tcPr>
            <w:tcW w:w="5310" w:type="dxa"/>
          </w:tcPr>
          <w:p w14:paraId="4E3FA649" w14:textId="77777777" w:rsidR="004922D0" w:rsidRPr="000266FE" w:rsidRDefault="004922D0" w:rsidP="00BD4282">
            <w:pPr>
              <w:rPr>
                <w:b/>
              </w:rPr>
            </w:pPr>
            <w:r w:rsidRPr="000266FE">
              <w:rPr>
                <w:b/>
              </w:rPr>
              <w:t xml:space="preserve">Impact on groups of Kirklees residents with protected characteristics </w:t>
            </w:r>
          </w:p>
        </w:tc>
        <w:tc>
          <w:tcPr>
            <w:tcW w:w="5286" w:type="dxa"/>
          </w:tcPr>
          <w:p w14:paraId="7ADB1715" w14:textId="77777777" w:rsidR="004922D0" w:rsidRPr="000266FE" w:rsidRDefault="004922D0" w:rsidP="00BD4282">
            <w:pPr>
              <w:rPr>
                <w:b/>
              </w:rPr>
            </w:pPr>
            <w:r w:rsidRPr="000266FE">
              <w:rPr>
                <w:b/>
              </w:rPr>
              <w:t>Mitigation</w:t>
            </w:r>
          </w:p>
        </w:tc>
      </w:tr>
      <w:tr w:rsidR="004922D0" w:rsidRPr="000266FE" w14:paraId="6B4E4E9D" w14:textId="77777777" w:rsidTr="00BD4282">
        <w:tc>
          <w:tcPr>
            <w:tcW w:w="2081" w:type="dxa"/>
          </w:tcPr>
          <w:p w14:paraId="32CD910B" w14:textId="77777777" w:rsidR="004922D0" w:rsidRPr="000266FE" w:rsidRDefault="004922D0" w:rsidP="00BD4282">
            <w:pPr>
              <w:spacing w:after="120"/>
            </w:pPr>
            <w:r w:rsidRPr="000266FE">
              <w:t>Dewsbury Town Hall</w:t>
            </w:r>
          </w:p>
        </w:tc>
        <w:tc>
          <w:tcPr>
            <w:tcW w:w="2111" w:type="dxa"/>
          </w:tcPr>
          <w:p w14:paraId="134221D3" w14:textId="77777777" w:rsidR="004922D0" w:rsidRPr="000266FE" w:rsidRDefault="004922D0" w:rsidP="00BD4282">
            <w:pPr>
              <w:spacing w:after="120"/>
            </w:pPr>
            <w:r w:rsidRPr="000266FE">
              <w:t>Central site</w:t>
            </w:r>
          </w:p>
        </w:tc>
        <w:tc>
          <w:tcPr>
            <w:tcW w:w="5310" w:type="dxa"/>
          </w:tcPr>
          <w:p w14:paraId="6B18526C" w14:textId="77777777" w:rsidR="004922D0" w:rsidRPr="000266FE" w:rsidRDefault="004922D0" w:rsidP="00BD4282">
            <w:pPr>
              <w:rPr>
                <w:b/>
              </w:rPr>
            </w:pPr>
            <w:r w:rsidRPr="000266FE">
              <w:rPr>
                <w:b/>
              </w:rPr>
              <w:t>Age</w:t>
            </w:r>
          </w:p>
          <w:p w14:paraId="1F1EF0F9" w14:textId="77777777" w:rsidR="004922D0" w:rsidRPr="000266FE" w:rsidRDefault="004922D0" w:rsidP="00BD4282">
            <w:r w:rsidRPr="000266FE">
              <w:rPr>
                <w:b/>
              </w:rPr>
              <w:t>Gender reassignment</w:t>
            </w:r>
            <w:r w:rsidRPr="000266FE">
              <w:t xml:space="preserve"> </w:t>
            </w:r>
          </w:p>
          <w:p w14:paraId="010F3E21" w14:textId="77777777" w:rsidR="004922D0" w:rsidRPr="000266FE" w:rsidRDefault="004922D0" w:rsidP="00BD4282">
            <w:pPr>
              <w:rPr>
                <w:b/>
              </w:rPr>
            </w:pPr>
            <w:r w:rsidRPr="000266FE">
              <w:rPr>
                <w:b/>
              </w:rPr>
              <w:t>Marriage and Civil Partnership</w:t>
            </w:r>
          </w:p>
          <w:p w14:paraId="40CF17E8" w14:textId="77777777" w:rsidR="004922D0" w:rsidRPr="000266FE" w:rsidRDefault="004922D0" w:rsidP="00BD4282">
            <w:pPr>
              <w:rPr>
                <w:b/>
              </w:rPr>
            </w:pPr>
            <w:r w:rsidRPr="000266FE">
              <w:rPr>
                <w:b/>
              </w:rPr>
              <w:t>Pregnancy and Maternity</w:t>
            </w:r>
          </w:p>
          <w:p w14:paraId="63D507A8" w14:textId="77777777" w:rsidR="004922D0" w:rsidRPr="000266FE" w:rsidRDefault="004922D0" w:rsidP="00BD4282">
            <w:pPr>
              <w:rPr>
                <w:b/>
              </w:rPr>
            </w:pPr>
            <w:r w:rsidRPr="000266FE">
              <w:rPr>
                <w:b/>
              </w:rPr>
              <w:t>Sex</w:t>
            </w:r>
          </w:p>
          <w:p w14:paraId="7E939E4E" w14:textId="77777777" w:rsidR="004922D0" w:rsidRPr="000266FE" w:rsidRDefault="004922D0" w:rsidP="00BD4282">
            <w:pPr>
              <w:rPr>
                <w:b/>
              </w:rPr>
            </w:pPr>
            <w:r w:rsidRPr="000266FE">
              <w:rPr>
                <w:b/>
              </w:rPr>
              <w:t>Sexual Orientation</w:t>
            </w:r>
          </w:p>
          <w:p w14:paraId="002D1438" w14:textId="77777777" w:rsidR="004922D0" w:rsidRPr="000266FE" w:rsidRDefault="004922D0" w:rsidP="00BD4282">
            <w:r w:rsidRPr="000266FE">
              <w:t>Not site-specific</w:t>
            </w:r>
          </w:p>
        </w:tc>
        <w:tc>
          <w:tcPr>
            <w:tcW w:w="5286" w:type="dxa"/>
          </w:tcPr>
          <w:p w14:paraId="5C6D61D0" w14:textId="77777777" w:rsidR="004922D0" w:rsidRPr="000266FE" w:rsidRDefault="004922D0" w:rsidP="00BD4282">
            <w:pPr>
              <w:spacing w:after="120"/>
            </w:pPr>
            <w:r w:rsidRPr="000266FE">
              <w:t>N/a</w:t>
            </w:r>
          </w:p>
        </w:tc>
      </w:tr>
      <w:tr w:rsidR="004922D0" w:rsidRPr="000266FE" w14:paraId="017A72C3" w14:textId="77777777" w:rsidTr="00BD4282">
        <w:tc>
          <w:tcPr>
            <w:tcW w:w="2081" w:type="dxa"/>
          </w:tcPr>
          <w:p w14:paraId="362AD466" w14:textId="77777777" w:rsidR="004922D0" w:rsidRPr="000266FE" w:rsidRDefault="004922D0" w:rsidP="00BD4282">
            <w:pPr>
              <w:spacing w:after="120"/>
            </w:pPr>
          </w:p>
        </w:tc>
        <w:tc>
          <w:tcPr>
            <w:tcW w:w="2111" w:type="dxa"/>
          </w:tcPr>
          <w:p w14:paraId="24230E2B" w14:textId="77777777" w:rsidR="004922D0" w:rsidRPr="000266FE" w:rsidRDefault="004922D0" w:rsidP="00BD4282">
            <w:pPr>
              <w:spacing w:after="120"/>
            </w:pPr>
          </w:p>
        </w:tc>
        <w:tc>
          <w:tcPr>
            <w:tcW w:w="5310" w:type="dxa"/>
          </w:tcPr>
          <w:p w14:paraId="6FE35B8A" w14:textId="77777777" w:rsidR="004922D0" w:rsidRPr="000266FE" w:rsidRDefault="004922D0" w:rsidP="00BD4282">
            <w:pPr>
              <w:rPr>
                <w:b/>
              </w:rPr>
            </w:pPr>
            <w:r w:rsidRPr="000266FE">
              <w:rPr>
                <w:b/>
              </w:rPr>
              <w:t xml:space="preserve">Race, Religion and belief </w:t>
            </w:r>
          </w:p>
          <w:p w14:paraId="003BA7C3" w14:textId="77777777" w:rsidR="004922D0" w:rsidRPr="000266FE" w:rsidRDefault="004922D0" w:rsidP="00BD4282">
            <w:pPr>
              <w:rPr>
                <w:b/>
              </w:rPr>
            </w:pPr>
            <w:r w:rsidRPr="000266FE">
              <w:t>Dewsbury Town Hall is in a town centre location and we therefore do not foresee any impact on this group.</w:t>
            </w:r>
          </w:p>
        </w:tc>
        <w:tc>
          <w:tcPr>
            <w:tcW w:w="5286" w:type="dxa"/>
          </w:tcPr>
          <w:p w14:paraId="0B9F833D" w14:textId="77777777" w:rsidR="004922D0" w:rsidRPr="000266FE" w:rsidRDefault="004922D0" w:rsidP="00BD4282">
            <w:pPr>
              <w:spacing w:after="120"/>
            </w:pPr>
            <w:r w:rsidRPr="000266FE">
              <w:t>N/a</w:t>
            </w:r>
          </w:p>
        </w:tc>
      </w:tr>
      <w:tr w:rsidR="004922D0" w:rsidRPr="000266FE" w14:paraId="598EC07C" w14:textId="77777777" w:rsidTr="00BD4282">
        <w:tc>
          <w:tcPr>
            <w:tcW w:w="2081" w:type="dxa"/>
          </w:tcPr>
          <w:p w14:paraId="51915C26" w14:textId="77777777" w:rsidR="004922D0" w:rsidRPr="000266FE" w:rsidRDefault="004922D0" w:rsidP="00BD4282">
            <w:pPr>
              <w:spacing w:after="120"/>
              <w:rPr>
                <w:color w:val="31849B" w:themeColor="accent5" w:themeShade="BF"/>
              </w:rPr>
            </w:pPr>
          </w:p>
        </w:tc>
        <w:tc>
          <w:tcPr>
            <w:tcW w:w="2111" w:type="dxa"/>
          </w:tcPr>
          <w:p w14:paraId="50890D07" w14:textId="77777777" w:rsidR="004922D0" w:rsidRPr="000266FE" w:rsidRDefault="004922D0" w:rsidP="00BD4282">
            <w:pPr>
              <w:spacing w:after="120"/>
            </w:pPr>
          </w:p>
        </w:tc>
        <w:tc>
          <w:tcPr>
            <w:tcW w:w="5310" w:type="dxa"/>
          </w:tcPr>
          <w:p w14:paraId="34C5A12E" w14:textId="77777777" w:rsidR="004922D0" w:rsidRPr="000266FE" w:rsidRDefault="004922D0" w:rsidP="00BD4282">
            <w:pPr>
              <w:rPr>
                <w:b/>
              </w:rPr>
            </w:pPr>
            <w:r w:rsidRPr="000266FE">
              <w:rPr>
                <w:b/>
              </w:rPr>
              <w:t>Disability</w:t>
            </w:r>
          </w:p>
          <w:p w14:paraId="1CC5412C" w14:textId="77777777" w:rsidR="004922D0" w:rsidRPr="000266FE" w:rsidRDefault="004922D0" w:rsidP="00BD4282">
            <w:pPr>
              <w:rPr>
                <w:b/>
              </w:rPr>
            </w:pPr>
            <w:r w:rsidRPr="000266FE">
              <w:rPr>
                <w:b/>
              </w:rPr>
              <w:t>People on low incomes</w:t>
            </w:r>
          </w:p>
          <w:p w14:paraId="5661F832" w14:textId="77777777" w:rsidR="004922D0" w:rsidRPr="000266FE" w:rsidRDefault="004922D0" w:rsidP="00BD4282">
            <w:pPr>
              <w:rPr>
                <w:b/>
              </w:rPr>
            </w:pPr>
            <w:r w:rsidRPr="000266FE">
              <w:rPr>
                <w:b/>
              </w:rPr>
              <w:t>Parents of young children</w:t>
            </w:r>
          </w:p>
          <w:p w14:paraId="077B6D62" w14:textId="77777777" w:rsidR="004922D0" w:rsidRPr="000266FE" w:rsidRDefault="004922D0" w:rsidP="00BD4282">
            <w:r w:rsidRPr="000266FE">
              <w:t xml:space="preserve">There may be an impact on these groups if they need to travel to the central site to access information or advice. </w:t>
            </w:r>
          </w:p>
        </w:tc>
        <w:tc>
          <w:tcPr>
            <w:tcW w:w="5286" w:type="dxa"/>
          </w:tcPr>
          <w:p w14:paraId="25200C90" w14:textId="77777777" w:rsidR="004922D0" w:rsidRPr="000266FE" w:rsidRDefault="004922D0" w:rsidP="00BD4282">
            <w:pPr>
              <w:spacing w:after="120"/>
            </w:pPr>
            <w:r w:rsidRPr="000266FE">
              <w:t>See transport analysis</w:t>
            </w:r>
          </w:p>
        </w:tc>
      </w:tr>
      <w:tr w:rsidR="004922D0" w:rsidRPr="000266FE" w14:paraId="74FC0854" w14:textId="77777777" w:rsidTr="00BD4282">
        <w:tc>
          <w:tcPr>
            <w:tcW w:w="2081" w:type="dxa"/>
          </w:tcPr>
          <w:p w14:paraId="547B3C86" w14:textId="77777777" w:rsidR="004922D0" w:rsidRPr="00954BCF" w:rsidRDefault="004922D0" w:rsidP="00BD4282">
            <w:pPr>
              <w:spacing w:after="120"/>
            </w:pPr>
            <w:r w:rsidRPr="00954BCF">
              <w:lastRenderedPageBreak/>
              <w:t xml:space="preserve">Dewsbury Moor Children’s Centre </w:t>
            </w:r>
          </w:p>
        </w:tc>
        <w:tc>
          <w:tcPr>
            <w:tcW w:w="2111" w:type="dxa"/>
          </w:tcPr>
          <w:p w14:paraId="16CDB49A" w14:textId="77777777" w:rsidR="004922D0" w:rsidRPr="00954BCF" w:rsidRDefault="004922D0" w:rsidP="00BD4282">
            <w:pPr>
              <w:spacing w:after="120"/>
            </w:pPr>
            <w:r w:rsidRPr="00954BCF">
              <w:t>Designated children’s centre for the Dewsbury and Mirfield area, and delivery site</w:t>
            </w:r>
          </w:p>
        </w:tc>
        <w:tc>
          <w:tcPr>
            <w:tcW w:w="5310" w:type="dxa"/>
          </w:tcPr>
          <w:p w14:paraId="6C963C34" w14:textId="77777777" w:rsidR="004922D0" w:rsidRPr="00954BCF" w:rsidRDefault="004922D0" w:rsidP="00BD4282">
            <w:r w:rsidRPr="00954BCF">
              <w:t>This is an existing Children’s Centre and we therefore do not anticipate any negative impact on groups of residents with protected characteristics.</w:t>
            </w:r>
          </w:p>
        </w:tc>
        <w:tc>
          <w:tcPr>
            <w:tcW w:w="5286" w:type="dxa"/>
          </w:tcPr>
          <w:p w14:paraId="5A9082F0" w14:textId="77777777" w:rsidR="004922D0" w:rsidRPr="00954BCF" w:rsidRDefault="004922D0" w:rsidP="00BD4282">
            <w:r w:rsidRPr="00954BCF">
              <w:t>N/a</w:t>
            </w:r>
          </w:p>
        </w:tc>
      </w:tr>
      <w:tr w:rsidR="00EB7023" w:rsidRPr="000266FE" w14:paraId="60C48655" w14:textId="77777777" w:rsidTr="00BD4282">
        <w:tc>
          <w:tcPr>
            <w:tcW w:w="2081" w:type="dxa"/>
          </w:tcPr>
          <w:p w14:paraId="03D861E0" w14:textId="722AFC87" w:rsidR="00EB7023" w:rsidRPr="000266FE" w:rsidRDefault="00EB7023" w:rsidP="00EB7023">
            <w:pPr>
              <w:spacing w:after="120"/>
            </w:pPr>
            <w:r w:rsidRPr="004922D0">
              <w:t>All other sites</w:t>
            </w:r>
          </w:p>
        </w:tc>
        <w:tc>
          <w:tcPr>
            <w:tcW w:w="2111" w:type="dxa"/>
          </w:tcPr>
          <w:p w14:paraId="1F2F7C75" w14:textId="45F92D30" w:rsidR="00EB7023" w:rsidRPr="000266FE" w:rsidRDefault="00EB7023" w:rsidP="00BD4282">
            <w:pPr>
              <w:spacing w:after="120"/>
            </w:pPr>
            <w:r w:rsidRPr="004922D0">
              <w:t>Surplus to requirements</w:t>
            </w:r>
            <w:r>
              <w:t xml:space="preserve"> in the model</w:t>
            </w:r>
          </w:p>
        </w:tc>
        <w:tc>
          <w:tcPr>
            <w:tcW w:w="5310" w:type="dxa"/>
          </w:tcPr>
          <w:p w14:paraId="6712301D" w14:textId="77777777" w:rsidR="00EB7023" w:rsidRPr="004922D0" w:rsidRDefault="00EB7023" w:rsidP="00BD4282">
            <w:pPr>
              <w:rPr>
                <w:b/>
              </w:rPr>
            </w:pPr>
            <w:r w:rsidRPr="004922D0">
              <w:rPr>
                <w:b/>
              </w:rPr>
              <w:t>Age</w:t>
            </w:r>
          </w:p>
          <w:p w14:paraId="3FCCC631" w14:textId="77777777" w:rsidR="00EB7023" w:rsidRPr="004922D0" w:rsidRDefault="00EB7023" w:rsidP="00BD4282">
            <w:r w:rsidRPr="004922D0">
              <w:rPr>
                <w:b/>
              </w:rPr>
              <w:t>Gender reassignment</w:t>
            </w:r>
            <w:r w:rsidRPr="004922D0">
              <w:t xml:space="preserve"> </w:t>
            </w:r>
          </w:p>
          <w:p w14:paraId="2DDC27BC" w14:textId="77777777" w:rsidR="00EB7023" w:rsidRPr="004922D0" w:rsidRDefault="00EB7023" w:rsidP="00BD4282">
            <w:pPr>
              <w:rPr>
                <w:b/>
              </w:rPr>
            </w:pPr>
            <w:r w:rsidRPr="004922D0">
              <w:rPr>
                <w:b/>
              </w:rPr>
              <w:t>Marriage and Civil Partnership</w:t>
            </w:r>
          </w:p>
          <w:p w14:paraId="71ED1A48" w14:textId="77777777" w:rsidR="00EB7023" w:rsidRPr="004922D0" w:rsidRDefault="00EB7023" w:rsidP="00BD4282">
            <w:pPr>
              <w:rPr>
                <w:b/>
              </w:rPr>
            </w:pPr>
            <w:r w:rsidRPr="004922D0">
              <w:rPr>
                <w:b/>
              </w:rPr>
              <w:t>Pregnancy and Maternity</w:t>
            </w:r>
          </w:p>
          <w:p w14:paraId="301624D5" w14:textId="77777777" w:rsidR="00EB7023" w:rsidRPr="004922D0" w:rsidRDefault="00EB7023" w:rsidP="00BD4282">
            <w:pPr>
              <w:rPr>
                <w:b/>
              </w:rPr>
            </w:pPr>
            <w:r w:rsidRPr="004922D0">
              <w:rPr>
                <w:b/>
              </w:rPr>
              <w:t>Sex</w:t>
            </w:r>
          </w:p>
          <w:p w14:paraId="5C8FCFC7" w14:textId="77777777" w:rsidR="00EB7023" w:rsidRPr="004922D0" w:rsidRDefault="00EB7023" w:rsidP="00BD4282">
            <w:pPr>
              <w:rPr>
                <w:b/>
              </w:rPr>
            </w:pPr>
            <w:r w:rsidRPr="004922D0">
              <w:rPr>
                <w:b/>
              </w:rPr>
              <w:t>Sexual Orientation</w:t>
            </w:r>
          </w:p>
          <w:p w14:paraId="7BC6632D" w14:textId="1422DB50" w:rsidR="00EB7023" w:rsidRPr="000266FE" w:rsidRDefault="00EB7023" w:rsidP="00BD4282">
            <w:pPr>
              <w:spacing w:after="120"/>
              <w:rPr>
                <w:b/>
              </w:rPr>
            </w:pPr>
            <w:r w:rsidRPr="004922D0">
              <w:t>Not site-specific</w:t>
            </w:r>
          </w:p>
        </w:tc>
        <w:tc>
          <w:tcPr>
            <w:tcW w:w="5286" w:type="dxa"/>
          </w:tcPr>
          <w:p w14:paraId="04D7AAEA" w14:textId="1048C026" w:rsidR="00EB7023" w:rsidRPr="000266FE" w:rsidRDefault="00EB7023" w:rsidP="00BD4282">
            <w:pPr>
              <w:rPr>
                <w:b/>
              </w:rPr>
            </w:pPr>
            <w:r w:rsidRPr="004922D0">
              <w:t>N/a</w:t>
            </w:r>
          </w:p>
        </w:tc>
      </w:tr>
      <w:tr w:rsidR="00EB7023" w:rsidRPr="000266FE" w14:paraId="06D95B50" w14:textId="77777777" w:rsidTr="00BD4282">
        <w:tc>
          <w:tcPr>
            <w:tcW w:w="2081" w:type="dxa"/>
          </w:tcPr>
          <w:p w14:paraId="37023C00" w14:textId="77777777" w:rsidR="00EB7023" w:rsidRPr="000266FE" w:rsidRDefault="00EB7023" w:rsidP="00BD4282">
            <w:pPr>
              <w:spacing w:after="120"/>
            </w:pPr>
          </w:p>
        </w:tc>
        <w:tc>
          <w:tcPr>
            <w:tcW w:w="2111" w:type="dxa"/>
          </w:tcPr>
          <w:p w14:paraId="6BC4AFA7" w14:textId="77777777" w:rsidR="00EB7023" w:rsidRPr="000266FE" w:rsidRDefault="00EB7023" w:rsidP="00BD4282">
            <w:pPr>
              <w:spacing w:after="120"/>
            </w:pPr>
          </w:p>
        </w:tc>
        <w:tc>
          <w:tcPr>
            <w:tcW w:w="5310" w:type="dxa"/>
          </w:tcPr>
          <w:p w14:paraId="52002CEC" w14:textId="77777777" w:rsidR="00EB7023" w:rsidRPr="004922D0" w:rsidRDefault="00EB7023" w:rsidP="00BD4282">
            <w:pPr>
              <w:rPr>
                <w:b/>
              </w:rPr>
            </w:pPr>
            <w:r w:rsidRPr="004922D0">
              <w:rPr>
                <w:b/>
              </w:rPr>
              <w:t>Disability</w:t>
            </w:r>
          </w:p>
          <w:p w14:paraId="6BC83FA2" w14:textId="77777777" w:rsidR="00EB7023" w:rsidRPr="004922D0" w:rsidRDefault="00EB7023" w:rsidP="00BD4282">
            <w:pPr>
              <w:rPr>
                <w:b/>
              </w:rPr>
            </w:pPr>
            <w:r w:rsidRPr="004922D0">
              <w:rPr>
                <w:b/>
              </w:rPr>
              <w:t xml:space="preserve">Race, Religion and belief </w:t>
            </w:r>
          </w:p>
          <w:p w14:paraId="7C3E2B40" w14:textId="77777777" w:rsidR="00EB7023" w:rsidRPr="004922D0" w:rsidRDefault="00EB7023" w:rsidP="00BD4282">
            <w:pPr>
              <w:rPr>
                <w:b/>
              </w:rPr>
            </w:pPr>
            <w:r w:rsidRPr="004922D0">
              <w:rPr>
                <w:b/>
              </w:rPr>
              <w:t>People on low incomes</w:t>
            </w:r>
          </w:p>
          <w:p w14:paraId="780E2AC3" w14:textId="77777777" w:rsidR="00EB7023" w:rsidRPr="004922D0" w:rsidRDefault="00EB7023" w:rsidP="00BD4282">
            <w:pPr>
              <w:rPr>
                <w:b/>
              </w:rPr>
            </w:pPr>
            <w:r w:rsidRPr="004922D0">
              <w:rPr>
                <w:b/>
              </w:rPr>
              <w:t>Parents of young children</w:t>
            </w:r>
          </w:p>
          <w:p w14:paraId="739389D5" w14:textId="5C2C27FA" w:rsidR="00EB7023" w:rsidRPr="000266FE" w:rsidRDefault="00EB7023" w:rsidP="00BD4282">
            <w:pPr>
              <w:spacing w:after="120"/>
            </w:pPr>
            <w:r w:rsidRPr="00EB7023">
              <w:t>There may be an impact on these groups if they need to travel to other sites to access information or advice.</w:t>
            </w:r>
          </w:p>
        </w:tc>
        <w:tc>
          <w:tcPr>
            <w:tcW w:w="5286" w:type="dxa"/>
          </w:tcPr>
          <w:p w14:paraId="7E1BAD6E" w14:textId="48D74AF4" w:rsidR="00EB7023" w:rsidRPr="000266FE" w:rsidRDefault="00EB7023" w:rsidP="00BD4282">
            <w:r w:rsidRPr="004922D0">
              <w:t>See transport analysis</w:t>
            </w:r>
          </w:p>
        </w:tc>
      </w:tr>
    </w:tbl>
    <w:p w14:paraId="0048DE22" w14:textId="77777777" w:rsidR="004922D0" w:rsidRPr="00BB1E57" w:rsidRDefault="004922D0" w:rsidP="004922D0">
      <w:pPr>
        <w:spacing w:before="600" w:line="240" w:lineRule="auto"/>
        <w:rPr>
          <w:b/>
          <w:sz w:val="28"/>
          <w:szCs w:val="28"/>
        </w:rPr>
      </w:pPr>
      <w:r w:rsidRPr="00071D8E">
        <w:rPr>
          <w:b/>
          <w:sz w:val="28"/>
          <w:szCs w:val="28"/>
        </w:rPr>
        <w:t>HUDDERSFIELD</w:t>
      </w:r>
    </w:p>
    <w:tbl>
      <w:tblPr>
        <w:tblStyle w:val="TableGrid"/>
        <w:tblW w:w="14709" w:type="dxa"/>
        <w:tblLook w:val="04A0" w:firstRow="1" w:lastRow="0" w:firstColumn="1" w:lastColumn="0" w:noHBand="0" w:noVBand="1"/>
      </w:tblPr>
      <w:tblGrid>
        <w:gridCol w:w="2093"/>
        <w:gridCol w:w="2126"/>
        <w:gridCol w:w="5245"/>
        <w:gridCol w:w="5245"/>
      </w:tblGrid>
      <w:tr w:rsidR="004922D0" w:rsidRPr="00152D9D" w14:paraId="58394654" w14:textId="77777777" w:rsidTr="00BD4282">
        <w:trPr>
          <w:tblHeader/>
        </w:trPr>
        <w:tc>
          <w:tcPr>
            <w:tcW w:w="2093" w:type="dxa"/>
          </w:tcPr>
          <w:p w14:paraId="067E6312" w14:textId="77777777" w:rsidR="004922D0" w:rsidRPr="00152D9D" w:rsidRDefault="004922D0" w:rsidP="00BD4282">
            <w:pPr>
              <w:rPr>
                <w:b/>
              </w:rPr>
            </w:pPr>
            <w:r w:rsidRPr="00152D9D">
              <w:rPr>
                <w:b/>
              </w:rPr>
              <w:t>Site</w:t>
            </w:r>
          </w:p>
        </w:tc>
        <w:tc>
          <w:tcPr>
            <w:tcW w:w="2126" w:type="dxa"/>
          </w:tcPr>
          <w:p w14:paraId="39AB5D2B" w14:textId="77777777" w:rsidR="004922D0" w:rsidRPr="00152D9D" w:rsidRDefault="004922D0" w:rsidP="00BD4282">
            <w:pPr>
              <w:rPr>
                <w:b/>
              </w:rPr>
            </w:pPr>
            <w:r w:rsidRPr="00152D9D">
              <w:rPr>
                <w:b/>
              </w:rPr>
              <w:t>Proposal</w:t>
            </w:r>
          </w:p>
        </w:tc>
        <w:tc>
          <w:tcPr>
            <w:tcW w:w="5245" w:type="dxa"/>
          </w:tcPr>
          <w:p w14:paraId="7E22023C" w14:textId="77777777" w:rsidR="004922D0" w:rsidRPr="00152D9D" w:rsidRDefault="004922D0" w:rsidP="00BD4282">
            <w:pPr>
              <w:rPr>
                <w:b/>
              </w:rPr>
            </w:pPr>
            <w:r w:rsidRPr="00152D9D">
              <w:rPr>
                <w:b/>
              </w:rPr>
              <w:t>Impact on groups of Kirklees residents with protected characteristics</w:t>
            </w:r>
          </w:p>
        </w:tc>
        <w:tc>
          <w:tcPr>
            <w:tcW w:w="5245" w:type="dxa"/>
          </w:tcPr>
          <w:p w14:paraId="79BCBA05" w14:textId="77777777" w:rsidR="004922D0" w:rsidRPr="00152D9D" w:rsidRDefault="004922D0" w:rsidP="00BD4282">
            <w:pPr>
              <w:rPr>
                <w:b/>
              </w:rPr>
            </w:pPr>
            <w:r w:rsidRPr="00152D9D">
              <w:rPr>
                <w:b/>
              </w:rPr>
              <w:t>Mitigation</w:t>
            </w:r>
          </w:p>
        </w:tc>
      </w:tr>
      <w:tr w:rsidR="004922D0" w:rsidRPr="00152D9D" w14:paraId="49C8CB7E" w14:textId="77777777" w:rsidTr="00BD4282">
        <w:tc>
          <w:tcPr>
            <w:tcW w:w="2093" w:type="dxa"/>
          </w:tcPr>
          <w:p w14:paraId="284BEFBD" w14:textId="77777777" w:rsidR="004922D0" w:rsidRPr="00152D9D" w:rsidRDefault="004922D0" w:rsidP="00BD4282">
            <w:pPr>
              <w:spacing w:after="120"/>
            </w:pPr>
            <w:r w:rsidRPr="00152D9D">
              <w:t>Civic Campus</w:t>
            </w:r>
          </w:p>
        </w:tc>
        <w:tc>
          <w:tcPr>
            <w:tcW w:w="2126" w:type="dxa"/>
          </w:tcPr>
          <w:p w14:paraId="0438FCBB" w14:textId="77777777" w:rsidR="004922D0" w:rsidRPr="00152D9D" w:rsidRDefault="004922D0" w:rsidP="00BD4282">
            <w:pPr>
              <w:spacing w:after="120"/>
            </w:pPr>
            <w:r w:rsidRPr="00152D9D">
              <w:t>Central site</w:t>
            </w:r>
          </w:p>
        </w:tc>
        <w:tc>
          <w:tcPr>
            <w:tcW w:w="5245" w:type="dxa"/>
          </w:tcPr>
          <w:p w14:paraId="194447F6" w14:textId="77777777" w:rsidR="004922D0" w:rsidRPr="00152D9D" w:rsidRDefault="004922D0" w:rsidP="00BD4282">
            <w:pPr>
              <w:rPr>
                <w:b/>
              </w:rPr>
            </w:pPr>
            <w:r w:rsidRPr="00152D9D">
              <w:rPr>
                <w:b/>
              </w:rPr>
              <w:t>Age</w:t>
            </w:r>
          </w:p>
          <w:p w14:paraId="6B895A6B" w14:textId="77777777" w:rsidR="004922D0" w:rsidRPr="00152D9D" w:rsidRDefault="004922D0" w:rsidP="00BD4282">
            <w:r w:rsidRPr="00152D9D">
              <w:rPr>
                <w:b/>
              </w:rPr>
              <w:t>Gender reassignment</w:t>
            </w:r>
            <w:r w:rsidRPr="00152D9D">
              <w:t xml:space="preserve"> </w:t>
            </w:r>
          </w:p>
          <w:p w14:paraId="0F5EA19A" w14:textId="77777777" w:rsidR="004922D0" w:rsidRPr="00152D9D" w:rsidRDefault="004922D0" w:rsidP="00BD4282">
            <w:pPr>
              <w:rPr>
                <w:b/>
              </w:rPr>
            </w:pPr>
            <w:r w:rsidRPr="00152D9D">
              <w:rPr>
                <w:b/>
              </w:rPr>
              <w:t>Marriage and Civil Partnership</w:t>
            </w:r>
          </w:p>
          <w:p w14:paraId="3C6A459F" w14:textId="77777777" w:rsidR="004922D0" w:rsidRPr="00152D9D" w:rsidRDefault="004922D0" w:rsidP="00BD4282">
            <w:pPr>
              <w:rPr>
                <w:b/>
              </w:rPr>
            </w:pPr>
            <w:r w:rsidRPr="00152D9D">
              <w:rPr>
                <w:b/>
              </w:rPr>
              <w:t>Pregnancy and Maternity</w:t>
            </w:r>
          </w:p>
          <w:p w14:paraId="53FDB2D6" w14:textId="77777777" w:rsidR="004922D0" w:rsidRPr="00152D9D" w:rsidRDefault="004922D0" w:rsidP="00BD4282">
            <w:pPr>
              <w:rPr>
                <w:b/>
              </w:rPr>
            </w:pPr>
            <w:r w:rsidRPr="00152D9D">
              <w:rPr>
                <w:b/>
              </w:rPr>
              <w:t>Sex</w:t>
            </w:r>
          </w:p>
          <w:p w14:paraId="46C29FEC" w14:textId="77777777" w:rsidR="004922D0" w:rsidRPr="00152D9D" w:rsidRDefault="004922D0" w:rsidP="00BD4282">
            <w:pPr>
              <w:rPr>
                <w:b/>
              </w:rPr>
            </w:pPr>
            <w:r w:rsidRPr="00152D9D">
              <w:rPr>
                <w:b/>
              </w:rPr>
              <w:t>Sexual Orientation</w:t>
            </w:r>
          </w:p>
          <w:p w14:paraId="337DF4F4" w14:textId="77777777" w:rsidR="004922D0" w:rsidRPr="00152D9D" w:rsidRDefault="004922D0" w:rsidP="00BD4282">
            <w:r w:rsidRPr="00152D9D">
              <w:t>Not site-specific</w:t>
            </w:r>
          </w:p>
        </w:tc>
        <w:tc>
          <w:tcPr>
            <w:tcW w:w="5245" w:type="dxa"/>
          </w:tcPr>
          <w:p w14:paraId="022B14C7" w14:textId="77777777" w:rsidR="004922D0" w:rsidRPr="00152D9D" w:rsidRDefault="004922D0" w:rsidP="00BD4282">
            <w:pPr>
              <w:spacing w:after="120"/>
            </w:pPr>
            <w:r w:rsidRPr="00152D9D">
              <w:t>N/a</w:t>
            </w:r>
          </w:p>
        </w:tc>
      </w:tr>
      <w:tr w:rsidR="00EB7023" w:rsidRPr="00152D9D" w14:paraId="557A3630" w14:textId="77777777" w:rsidTr="00BD4282">
        <w:tc>
          <w:tcPr>
            <w:tcW w:w="2093" w:type="dxa"/>
          </w:tcPr>
          <w:p w14:paraId="37337944" w14:textId="77777777" w:rsidR="004922D0" w:rsidRPr="00152D9D" w:rsidRDefault="004922D0" w:rsidP="00BD4282">
            <w:pPr>
              <w:spacing w:after="120"/>
            </w:pPr>
          </w:p>
        </w:tc>
        <w:tc>
          <w:tcPr>
            <w:tcW w:w="2126" w:type="dxa"/>
          </w:tcPr>
          <w:p w14:paraId="4CC0040A" w14:textId="77777777" w:rsidR="004922D0" w:rsidRPr="00152D9D" w:rsidRDefault="004922D0" w:rsidP="00BD4282">
            <w:pPr>
              <w:spacing w:after="120"/>
            </w:pPr>
          </w:p>
        </w:tc>
        <w:tc>
          <w:tcPr>
            <w:tcW w:w="5245" w:type="dxa"/>
          </w:tcPr>
          <w:p w14:paraId="7D67C168" w14:textId="77777777" w:rsidR="004922D0" w:rsidRPr="00152D9D" w:rsidRDefault="004922D0" w:rsidP="00BD4282">
            <w:pPr>
              <w:rPr>
                <w:b/>
              </w:rPr>
            </w:pPr>
            <w:r w:rsidRPr="00152D9D">
              <w:rPr>
                <w:b/>
              </w:rPr>
              <w:t xml:space="preserve">Race, Religion and belief </w:t>
            </w:r>
          </w:p>
          <w:p w14:paraId="1073A174" w14:textId="77777777" w:rsidR="004922D0" w:rsidRPr="00152D9D" w:rsidRDefault="004922D0" w:rsidP="00BD4282">
            <w:pPr>
              <w:rPr>
                <w:b/>
              </w:rPr>
            </w:pPr>
            <w:r w:rsidRPr="00152D9D">
              <w:t>The central site will be in a central location and we therefore do not foresee any impact on this group.</w:t>
            </w:r>
          </w:p>
        </w:tc>
        <w:tc>
          <w:tcPr>
            <w:tcW w:w="5245" w:type="dxa"/>
          </w:tcPr>
          <w:p w14:paraId="3F059D8E" w14:textId="77777777" w:rsidR="004922D0" w:rsidRPr="00152D9D" w:rsidRDefault="004922D0" w:rsidP="00BD4282">
            <w:pPr>
              <w:spacing w:after="120"/>
            </w:pPr>
            <w:r w:rsidRPr="00152D9D">
              <w:t>N/a</w:t>
            </w:r>
          </w:p>
        </w:tc>
      </w:tr>
      <w:tr w:rsidR="004922D0" w:rsidRPr="00152D9D" w14:paraId="2789593C" w14:textId="77777777" w:rsidTr="00BD4282">
        <w:tc>
          <w:tcPr>
            <w:tcW w:w="2093" w:type="dxa"/>
          </w:tcPr>
          <w:p w14:paraId="4C7DB4F7" w14:textId="77777777" w:rsidR="004922D0" w:rsidRPr="00152D9D" w:rsidRDefault="004922D0" w:rsidP="00BD4282">
            <w:pPr>
              <w:spacing w:after="120"/>
              <w:rPr>
                <w:color w:val="31849B" w:themeColor="accent5" w:themeShade="BF"/>
              </w:rPr>
            </w:pPr>
          </w:p>
        </w:tc>
        <w:tc>
          <w:tcPr>
            <w:tcW w:w="2126" w:type="dxa"/>
          </w:tcPr>
          <w:p w14:paraId="0D94464B" w14:textId="77777777" w:rsidR="004922D0" w:rsidRPr="00152D9D" w:rsidRDefault="004922D0" w:rsidP="00BD4282">
            <w:pPr>
              <w:spacing w:after="120"/>
              <w:rPr>
                <w:color w:val="31849B" w:themeColor="accent5" w:themeShade="BF"/>
              </w:rPr>
            </w:pPr>
          </w:p>
        </w:tc>
        <w:tc>
          <w:tcPr>
            <w:tcW w:w="5245" w:type="dxa"/>
          </w:tcPr>
          <w:p w14:paraId="0C596791" w14:textId="77777777" w:rsidR="004922D0" w:rsidRPr="00152D9D" w:rsidRDefault="004922D0" w:rsidP="00BD4282">
            <w:pPr>
              <w:rPr>
                <w:b/>
              </w:rPr>
            </w:pPr>
            <w:r w:rsidRPr="00152D9D">
              <w:rPr>
                <w:b/>
              </w:rPr>
              <w:t>Disability</w:t>
            </w:r>
          </w:p>
          <w:p w14:paraId="5CE6E19E" w14:textId="77777777" w:rsidR="004922D0" w:rsidRPr="00152D9D" w:rsidRDefault="004922D0" w:rsidP="00BD4282">
            <w:pPr>
              <w:rPr>
                <w:b/>
              </w:rPr>
            </w:pPr>
            <w:r w:rsidRPr="00152D9D">
              <w:rPr>
                <w:b/>
              </w:rPr>
              <w:t>People on low incomes</w:t>
            </w:r>
          </w:p>
          <w:p w14:paraId="206A503A" w14:textId="77777777" w:rsidR="004922D0" w:rsidRPr="00152D9D" w:rsidRDefault="004922D0" w:rsidP="00BD4282">
            <w:pPr>
              <w:rPr>
                <w:b/>
              </w:rPr>
            </w:pPr>
            <w:r w:rsidRPr="00152D9D">
              <w:rPr>
                <w:b/>
              </w:rPr>
              <w:t>Parents of young children</w:t>
            </w:r>
          </w:p>
          <w:p w14:paraId="29949524" w14:textId="77777777" w:rsidR="004922D0" w:rsidRPr="00152D9D" w:rsidRDefault="004922D0" w:rsidP="00BD4282">
            <w:r w:rsidRPr="00152D9D">
              <w:t xml:space="preserve">There may be an impact on these groups if they need to travel to the central site to access information or advice. </w:t>
            </w:r>
          </w:p>
        </w:tc>
        <w:tc>
          <w:tcPr>
            <w:tcW w:w="5245" w:type="dxa"/>
          </w:tcPr>
          <w:p w14:paraId="442A5846" w14:textId="77777777" w:rsidR="004922D0" w:rsidRPr="00152D9D" w:rsidRDefault="004922D0" w:rsidP="00BD4282">
            <w:pPr>
              <w:spacing w:after="120"/>
            </w:pPr>
            <w:r w:rsidRPr="00152D9D">
              <w:t>See transport analysis</w:t>
            </w:r>
          </w:p>
        </w:tc>
      </w:tr>
      <w:tr w:rsidR="004922D0" w:rsidRPr="00152D9D" w14:paraId="50B7C671" w14:textId="77777777" w:rsidTr="00BD4282">
        <w:tc>
          <w:tcPr>
            <w:tcW w:w="2093" w:type="dxa"/>
          </w:tcPr>
          <w:p w14:paraId="5B312A89" w14:textId="77777777" w:rsidR="004922D0" w:rsidRPr="00152D9D" w:rsidRDefault="004922D0" w:rsidP="00BD4282">
            <w:pPr>
              <w:spacing w:after="120"/>
            </w:pPr>
            <w:r w:rsidRPr="00152D9D">
              <w:t>Chestnut Centre</w:t>
            </w:r>
          </w:p>
        </w:tc>
        <w:tc>
          <w:tcPr>
            <w:tcW w:w="2126" w:type="dxa"/>
          </w:tcPr>
          <w:p w14:paraId="0839BE83" w14:textId="77777777" w:rsidR="004922D0" w:rsidRPr="00152D9D" w:rsidRDefault="004922D0" w:rsidP="00BD4282">
            <w:pPr>
              <w:spacing w:after="120"/>
            </w:pPr>
            <w:r w:rsidRPr="00152D9D">
              <w:t>Designated children’s centre for the Huddersfield area, and delivery site</w:t>
            </w:r>
          </w:p>
        </w:tc>
        <w:tc>
          <w:tcPr>
            <w:tcW w:w="5245" w:type="dxa"/>
          </w:tcPr>
          <w:p w14:paraId="2A4E5AEB" w14:textId="77777777" w:rsidR="004922D0" w:rsidRPr="00152D9D" w:rsidRDefault="004922D0" w:rsidP="00BD4282">
            <w:pPr>
              <w:spacing w:after="120"/>
              <w:rPr>
                <w:b/>
              </w:rPr>
            </w:pPr>
            <w:r w:rsidRPr="00152D9D">
              <w:t>This is an existing Children’s Centre and we therefore do not anticipate any negative impact on groups of residents with protected characteristics.</w:t>
            </w:r>
          </w:p>
        </w:tc>
        <w:tc>
          <w:tcPr>
            <w:tcW w:w="5245" w:type="dxa"/>
          </w:tcPr>
          <w:p w14:paraId="1B02AD1C" w14:textId="77777777" w:rsidR="004922D0" w:rsidRPr="00152D9D" w:rsidRDefault="004922D0" w:rsidP="00BD4282">
            <w:pPr>
              <w:rPr>
                <w:b/>
              </w:rPr>
            </w:pPr>
            <w:r w:rsidRPr="00152D9D">
              <w:t>N/a</w:t>
            </w:r>
          </w:p>
        </w:tc>
      </w:tr>
      <w:tr w:rsidR="00EB7023" w:rsidRPr="00152D9D" w14:paraId="2BD88AF5" w14:textId="77777777" w:rsidTr="00BD4282">
        <w:tc>
          <w:tcPr>
            <w:tcW w:w="2093" w:type="dxa"/>
          </w:tcPr>
          <w:p w14:paraId="3544AA87" w14:textId="58C6B943" w:rsidR="00EB7023" w:rsidRPr="00152D9D" w:rsidRDefault="00EB7023" w:rsidP="00BD4282">
            <w:pPr>
              <w:spacing w:after="120"/>
            </w:pPr>
            <w:r w:rsidRPr="004922D0">
              <w:t>All other sites</w:t>
            </w:r>
          </w:p>
        </w:tc>
        <w:tc>
          <w:tcPr>
            <w:tcW w:w="2126" w:type="dxa"/>
          </w:tcPr>
          <w:p w14:paraId="264ECFD7" w14:textId="4A1528AB" w:rsidR="00EB7023" w:rsidRPr="00152D9D" w:rsidRDefault="00EB7023" w:rsidP="00BD4282">
            <w:pPr>
              <w:spacing w:after="120"/>
            </w:pPr>
            <w:r w:rsidRPr="004922D0">
              <w:t>Surplus to requirements</w:t>
            </w:r>
            <w:r>
              <w:t xml:space="preserve"> in the model</w:t>
            </w:r>
          </w:p>
        </w:tc>
        <w:tc>
          <w:tcPr>
            <w:tcW w:w="5245" w:type="dxa"/>
          </w:tcPr>
          <w:p w14:paraId="4DBC3DC2" w14:textId="77777777" w:rsidR="00EB7023" w:rsidRPr="004922D0" w:rsidRDefault="00EB7023" w:rsidP="00BD4282">
            <w:pPr>
              <w:rPr>
                <w:b/>
              </w:rPr>
            </w:pPr>
            <w:r w:rsidRPr="004922D0">
              <w:rPr>
                <w:b/>
              </w:rPr>
              <w:t>Age</w:t>
            </w:r>
          </w:p>
          <w:p w14:paraId="499A0A00" w14:textId="77777777" w:rsidR="00EB7023" w:rsidRPr="004922D0" w:rsidRDefault="00EB7023" w:rsidP="00BD4282">
            <w:r w:rsidRPr="004922D0">
              <w:rPr>
                <w:b/>
              </w:rPr>
              <w:t>Gender reassignment</w:t>
            </w:r>
            <w:r w:rsidRPr="004922D0">
              <w:t xml:space="preserve"> </w:t>
            </w:r>
          </w:p>
          <w:p w14:paraId="357E89A0" w14:textId="77777777" w:rsidR="00EB7023" w:rsidRPr="004922D0" w:rsidRDefault="00EB7023" w:rsidP="00BD4282">
            <w:pPr>
              <w:rPr>
                <w:b/>
              </w:rPr>
            </w:pPr>
            <w:r w:rsidRPr="004922D0">
              <w:rPr>
                <w:b/>
              </w:rPr>
              <w:t>Marriage and Civil Partnership</w:t>
            </w:r>
          </w:p>
          <w:p w14:paraId="5272A0FB" w14:textId="77777777" w:rsidR="00EB7023" w:rsidRPr="004922D0" w:rsidRDefault="00EB7023" w:rsidP="00BD4282">
            <w:pPr>
              <w:rPr>
                <w:b/>
              </w:rPr>
            </w:pPr>
            <w:r w:rsidRPr="004922D0">
              <w:rPr>
                <w:b/>
              </w:rPr>
              <w:t>Pregnancy and Maternity</w:t>
            </w:r>
          </w:p>
          <w:p w14:paraId="12969F91" w14:textId="77777777" w:rsidR="00EB7023" w:rsidRPr="004922D0" w:rsidRDefault="00EB7023" w:rsidP="00BD4282">
            <w:pPr>
              <w:rPr>
                <w:b/>
              </w:rPr>
            </w:pPr>
            <w:r w:rsidRPr="004922D0">
              <w:rPr>
                <w:b/>
              </w:rPr>
              <w:t>Sex</w:t>
            </w:r>
          </w:p>
          <w:p w14:paraId="3774441C" w14:textId="77777777" w:rsidR="00EB7023" w:rsidRPr="004922D0" w:rsidRDefault="00EB7023" w:rsidP="00BD4282">
            <w:pPr>
              <w:rPr>
                <w:b/>
              </w:rPr>
            </w:pPr>
            <w:r w:rsidRPr="004922D0">
              <w:rPr>
                <w:b/>
              </w:rPr>
              <w:t>Sexual Orientation</w:t>
            </w:r>
          </w:p>
          <w:p w14:paraId="388839EE" w14:textId="0265B620" w:rsidR="00EB7023" w:rsidRPr="00152D9D" w:rsidRDefault="00EB7023" w:rsidP="00BD4282">
            <w:pPr>
              <w:spacing w:after="120"/>
              <w:rPr>
                <w:b/>
              </w:rPr>
            </w:pPr>
            <w:r w:rsidRPr="004922D0">
              <w:t>Not site-specific</w:t>
            </w:r>
          </w:p>
        </w:tc>
        <w:tc>
          <w:tcPr>
            <w:tcW w:w="5245" w:type="dxa"/>
          </w:tcPr>
          <w:p w14:paraId="5D233C98" w14:textId="4B68ECAA" w:rsidR="00EB7023" w:rsidRPr="00152D9D" w:rsidRDefault="00EB7023" w:rsidP="00BD4282">
            <w:pPr>
              <w:rPr>
                <w:b/>
              </w:rPr>
            </w:pPr>
            <w:r w:rsidRPr="004922D0">
              <w:t>N/a</w:t>
            </w:r>
          </w:p>
        </w:tc>
      </w:tr>
      <w:tr w:rsidR="00EB7023" w:rsidRPr="00152D9D" w14:paraId="2B643791" w14:textId="77777777" w:rsidTr="00BD4282">
        <w:tc>
          <w:tcPr>
            <w:tcW w:w="2093" w:type="dxa"/>
          </w:tcPr>
          <w:p w14:paraId="2D579686" w14:textId="134C0FE6" w:rsidR="00EB7023" w:rsidRPr="00152D9D" w:rsidRDefault="00EB7023" w:rsidP="00BD4282">
            <w:pPr>
              <w:spacing w:after="120"/>
            </w:pPr>
          </w:p>
        </w:tc>
        <w:tc>
          <w:tcPr>
            <w:tcW w:w="2126" w:type="dxa"/>
          </w:tcPr>
          <w:p w14:paraId="14364B07" w14:textId="680AB1BC" w:rsidR="00EB7023" w:rsidRPr="00152D9D" w:rsidRDefault="00EB7023" w:rsidP="00BD4282">
            <w:pPr>
              <w:spacing w:after="120"/>
            </w:pPr>
          </w:p>
        </w:tc>
        <w:tc>
          <w:tcPr>
            <w:tcW w:w="5245" w:type="dxa"/>
          </w:tcPr>
          <w:p w14:paraId="37255266" w14:textId="77777777" w:rsidR="00EB7023" w:rsidRPr="004922D0" w:rsidRDefault="00EB7023" w:rsidP="00BD4282">
            <w:pPr>
              <w:rPr>
                <w:b/>
              </w:rPr>
            </w:pPr>
            <w:r w:rsidRPr="004922D0">
              <w:rPr>
                <w:b/>
              </w:rPr>
              <w:t>Disability</w:t>
            </w:r>
          </w:p>
          <w:p w14:paraId="2DD6F716" w14:textId="77777777" w:rsidR="00EB7023" w:rsidRPr="004922D0" w:rsidRDefault="00EB7023" w:rsidP="00BD4282">
            <w:pPr>
              <w:rPr>
                <w:b/>
              </w:rPr>
            </w:pPr>
            <w:r w:rsidRPr="004922D0">
              <w:rPr>
                <w:b/>
              </w:rPr>
              <w:t xml:space="preserve">Race, Religion and belief </w:t>
            </w:r>
          </w:p>
          <w:p w14:paraId="2AD1CD47" w14:textId="77777777" w:rsidR="00EB7023" w:rsidRPr="004922D0" w:rsidRDefault="00EB7023" w:rsidP="00BD4282">
            <w:pPr>
              <w:rPr>
                <w:b/>
              </w:rPr>
            </w:pPr>
            <w:r w:rsidRPr="004922D0">
              <w:rPr>
                <w:b/>
              </w:rPr>
              <w:t>People on low incomes</w:t>
            </w:r>
          </w:p>
          <w:p w14:paraId="4DBCDECE" w14:textId="77777777" w:rsidR="00EB7023" w:rsidRPr="004922D0" w:rsidRDefault="00EB7023" w:rsidP="00BD4282">
            <w:pPr>
              <w:rPr>
                <w:b/>
              </w:rPr>
            </w:pPr>
            <w:r w:rsidRPr="004922D0">
              <w:rPr>
                <w:b/>
              </w:rPr>
              <w:t>Parents of young children</w:t>
            </w:r>
          </w:p>
          <w:p w14:paraId="01E915CD" w14:textId="62DEF24A" w:rsidR="00EB7023" w:rsidRPr="00152D9D" w:rsidRDefault="00EB7023" w:rsidP="00EB7023">
            <w:pPr>
              <w:spacing w:after="120"/>
              <w:rPr>
                <w:b/>
              </w:rPr>
            </w:pPr>
            <w:r w:rsidRPr="00EB7023">
              <w:t xml:space="preserve">There may be an impact on these groups if they need to travel to other sites to access information or advice. </w:t>
            </w:r>
          </w:p>
        </w:tc>
        <w:tc>
          <w:tcPr>
            <w:tcW w:w="5245" w:type="dxa"/>
          </w:tcPr>
          <w:p w14:paraId="65F60D2C" w14:textId="4246FC49" w:rsidR="00EB7023" w:rsidRPr="00152D9D" w:rsidRDefault="00EB7023" w:rsidP="00BD4282">
            <w:pPr>
              <w:rPr>
                <w:b/>
              </w:rPr>
            </w:pPr>
            <w:r w:rsidRPr="004922D0">
              <w:t>See transport analysis</w:t>
            </w:r>
          </w:p>
        </w:tc>
      </w:tr>
    </w:tbl>
    <w:p w14:paraId="731BCDB0" w14:textId="77777777" w:rsidR="004922D0" w:rsidRDefault="004922D0" w:rsidP="004922D0">
      <w:pPr>
        <w:spacing w:before="600" w:line="240" w:lineRule="auto"/>
      </w:pPr>
      <w:r>
        <w:rPr>
          <w:b/>
          <w:sz w:val="28"/>
          <w:szCs w:val="28"/>
        </w:rPr>
        <w:t xml:space="preserve">KIRKLEES </w:t>
      </w:r>
      <w:r w:rsidRPr="00071D8E">
        <w:rPr>
          <w:b/>
          <w:sz w:val="28"/>
          <w:szCs w:val="28"/>
        </w:rPr>
        <w:t>RURAL</w:t>
      </w:r>
    </w:p>
    <w:tbl>
      <w:tblPr>
        <w:tblStyle w:val="TableGrid"/>
        <w:tblW w:w="14709" w:type="dxa"/>
        <w:tblLook w:val="04A0" w:firstRow="1" w:lastRow="0" w:firstColumn="1" w:lastColumn="0" w:noHBand="0" w:noVBand="1"/>
      </w:tblPr>
      <w:tblGrid>
        <w:gridCol w:w="2093"/>
        <w:gridCol w:w="2126"/>
        <w:gridCol w:w="5245"/>
        <w:gridCol w:w="5245"/>
      </w:tblGrid>
      <w:tr w:rsidR="004922D0" w:rsidRPr="00916F73" w14:paraId="29113BD7" w14:textId="77777777" w:rsidTr="00BD4282">
        <w:trPr>
          <w:tblHeader/>
        </w:trPr>
        <w:tc>
          <w:tcPr>
            <w:tcW w:w="2093" w:type="dxa"/>
          </w:tcPr>
          <w:p w14:paraId="0CAEDCAA" w14:textId="77777777" w:rsidR="004922D0" w:rsidRPr="00916F73" w:rsidRDefault="004922D0" w:rsidP="00BD4282">
            <w:pPr>
              <w:rPr>
                <w:b/>
              </w:rPr>
            </w:pPr>
            <w:r w:rsidRPr="00916F73">
              <w:rPr>
                <w:b/>
              </w:rPr>
              <w:lastRenderedPageBreak/>
              <w:t>Site</w:t>
            </w:r>
          </w:p>
        </w:tc>
        <w:tc>
          <w:tcPr>
            <w:tcW w:w="2126" w:type="dxa"/>
          </w:tcPr>
          <w:p w14:paraId="2B5425D3" w14:textId="77777777" w:rsidR="004922D0" w:rsidRPr="00916F73" w:rsidRDefault="004922D0" w:rsidP="00BD4282">
            <w:pPr>
              <w:rPr>
                <w:b/>
              </w:rPr>
            </w:pPr>
            <w:r w:rsidRPr="00916F73">
              <w:rPr>
                <w:b/>
              </w:rPr>
              <w:t>Proposal</w:t>
            </w:r>
          </w:p>
        </w:tc>
        <w:tc>
          <w:tcPr>
            <w:tcW w:w="5245" w:type="dxa"/>
          </w:tcPr>
          <w:p w14:paraId="563BCEBE" w14:textId="77777777" w:rsidR="004922D0" w:rsidRPr="00916F73" w:rsidRDefault="004922D0" w:rsidP="00BD4282">
            <w:pPr>
              <w:rPr>
                <w:b/>
              </w:rPr>
            </w:pPr>
            <w:r w:rsidRPr="00916F73">
              <w:rPr>
                <w:b/>
              </w:rPr>
              <w:t>Impact on groups of Kirklees residents with protected characteristics</w:t>
            </w:r>
          </w:p>
        </w:tc>
        <w:tc>
          <w:tcPr>
            <w:tcW w:w="5245" w:type="dxa"/>
          </w:tcPr>
          <w:p w14:paraId="4F77269D" w14:textId="77777777" w:rsidR="004922D0" w:rsidRPr="00916F73" w:rsidRDefault="004922D0" w:rsidP="00BD4282">
            <w:pPr>
              <w:rPr>
                <w:b/>
              </w:rPr>
            </w:pPr>
            <w:r w:rsidRPr="00916F73">
              <w:rPr>
                <w:b/>
              </w:rPr>
              <w:t>Mitigation</w:t>
            </w:r>
          </w:p>
        </w:tc>
      </w:tr>
      <w:tr w:rsidR="004922D0" w:rsidRPr="00916F73" w14:paraId="3BFE6D9D" w14:textId="77777777" w:rsidTr="00BD4282">
        <w:tc>
          <w:tcPr>
            <w:tcW w:w="2093" w:type="dxa"/>
          </w:tcPr>
          <w:p w14:paraId="153162AD" w14:textId="77777777" w:rsidR="004922D0" w:rsidRPr="00916F73" w:rsidRDefault="004922D0" w:rsidP="00BD4282">
            <w:pPr>
              <w:spacing w:after="120"/>
            </w:pPr>
            <w:r w:rsidRPr="00916F73">
              <w:t>Slaithwaite Town Hall</w:t>
            </w:r>
          </w:p>
        </w:tc>
        <w:tc>
          <w:tcPr>
            <w:tcW w:w="2126" w:type="dxa"/>
          </w:tcPr>
          <w:p w14:paraId="22A349D6" w14:textId="77777777" w:rsidR="004922D0" w:rsidRPr="00916F73" w:rsidRDefault="004922D0" w:rsidP="00BD4282">
            <w:pPr>
              <w:spacing w:after="120"/>
            </w:pPr>
            <w:r w:rsidRPr="00916F73">
              <w:t>Central site</w:t>
            </w:r>
            <w:r>
              <w:t>, d</w:t>
            </w:r>
            <w:r w:rsidRPr="00916F73">
              <w:t>esignated children’s centre for the Rural area, and delivery site</w:t>
            </w:r>
          </w:p>
        </w:tc>
        <w:tc>
          <w:tcPr>
            <w:tcW w:w="5245" w:type="dxa"/>
          </w:tcPr>
          <w:p w14:paraId="6D54590D" w14:textId="77777777" w:rsidR="004922D0" w:rsidRPr="00916F73" w:rsidRDefault="004922D0" w:rsidP="00BD4282">
            <w:pPr>
              <w:rPr>
                <w:b/>
              </w:rPr>
            </w:pPr>
            <w:r w:rsidRPr="00916F73">
              <w:rPr>
                <w:b/>
              </w:rPr>
              <w:t>Age</w:t>
            </w:r>
          </w:p>
          <w:p w14:paraId="57E93E68" w14:textId="77777777" w:rsidR="004922D0" w:rsidRPr="00916F73" w:rsidRDefault="004922D0" w:rsidP="00BD4282">
            <w:r w:rsidRPr="00916F73">
              <w:rPr>
                <w:b/>
              </w:rPr>
              <w:t>Gender reassignment</w:t>
            </w:r>
            <w:r w:rsidRPr="00916F73">
              <w:t xml:space="preserve"> </w:t>
            </w:r>
          </w:p>
          <w:p w14:paraId="2A0C1132" w14:textId="77777777" w:rsidR="004922D0" w:rsidRPr="00916F73" w:rsidRDefault="004922D0" w:rsidP="00BD4282">
            <w:pPr>
              <w:rPr>
                <w:b/>
              </w:rPr>
            </w:pPr>
            <w:r w:rsidRPr="00916F73">
              <w:rPr>
                <w:b/>
              </w:rPr>
              <w:t>Marriage and Civil Partnership</w:t>
            </w:r>
          </w:p>
          <w:p w14:paraId="2BFC76D8" w14:textId="77777777" w:rsidR="004922D0" w:rsidRPr="00916F73" w:rsidRDefault="004922D0" w:rsidP="00BD4282">
            <w:pPr>
              <w:rPr>
                <w:b/>
              </w:rPr>
            </w:pPr>
            <w:r w:rsidRPr="00916F73">
              <w:rPr>
                <w:b/>
              </w:rPr>
              <w:t>Pregnancy and Maternity</w:t>
            </w:r>
          </w:p>
          <w:p w14:paraId="0F68017B" w14:textId="77777777" w:rsidR="004922D0" w:rsidRPr="00916F73" w:rsidRDefault="004922D0" w:rsidP="00BD4282">
            <w:pPr>
              <w:rPr>
                <w:b/>
              </w:rPr>
            </w:pPr>
            <w:r w:rsidRPr="00916F73">
              <w:rPr>
                <w:b/>
              </w:rPr>
              <w:t>Sex</w:t>
            </w:r>
          </w:p>
          <w:p w14:paraId="240D8A53" w14:textId="77777777" w:rsidR="004922D0" w:rsidRPr="00916F73" w:rsidRDefault="004922D0" w:rsidP="00BD4282">
            <w:pPr>
              <w:rPr>
                <w:b/>
              </w:rPr>
            </w:pPr>
            <w:r w:rsidRPr="00916F73">
              <w:rPr>
                <w:b/>
              </w:rPr>
              <w:t>Sexual Orientation</w:t>
            </w:r>
          </w:p>
          <w:p w14:paraId="3680664C" w14:textId="77777777" w:rsidR="004922D0" w:rsidRPr="00916F73" w:rsidRDefault="004922D0" w:rsidP="00BD4282">
            <w:r w:rsidRPr="00916F73">
              <w:t>Not site-specific</w:t>
            </w:r>
          </w:p>
        </w:tc>
        <w:tc>
          <w:tcPr>
            <w:tcW w:w="5245" w:type="dxa"/>
          </w:tcPr>
          <w:p w14:paraId="76E14AC5" w14:textId="77777777" w:rsidR="004922D0" w:rsidRPr="00916F73" w:rsidRDefault="004922D0" w:rsidP="00BD4282">
            <w:pPr>
              <w:spacing w:after="120"/>
            </w:pPr>
            <w:r w:rsidRPr="00916F73">
              <w:t>N/a</w:t>
            </w:r>
          </w:p>
        </w:tc>
      </w:tr>
      <w:tr w:rsidR="004922D0" w:rsidRPr="00916F73" w14:paraId="6A12C92D" w14:textId="77777777" w:rsidTr="00BD4282">
        <w:tc>
          <w:tcPr>
            <w:tcW w:w="2093" w:type="dxa"/>
          </w:tcPr>
          <w:p w14:paraId="2ABFF83A" w14:textId="77777777" w:rsidR="004922D0" w:rsidRPr="00916F73" w:rsidRDefault="004922D0" w:rsidP="00BD4282">
            <w:pPr>
              <w:spacing w:after="120"/>
            </w:pPr>
          </w:p>
        </w:tc>
        <w:tc>
          <w:tcPr>
            <w:tcW w:w="2126" w:type="dxa"/>
          </w:tcPr>
          <w:p w14:paraId="21A29AE5" w14:textId="77777777" w:rsidR="004922D0" w:rsidRPr="00916F73" w:rsidRDefault="004922D0" w:rsidP="00BD4282">
            <w:pPr>
              <w:spacing w:after="120"/>
            </w:pPr>
          </w:p>
        </w:tc>
        <w:tc>
          <w:tcPr>
            <w:tcW w:w="5245" w:type="dxa"/>
          </w:tcPr>
          <w:p w14:paraId="761D0427" w14:textId="77777777" w:rsidR="004922D0" w:rsidRPr="00916F73" w:rsidRDefault="004922D0" w:rsidP="00BD4282">
            <w:pPr>
              <w:rPr>
                <w:b/>
              </w:rPr>
            </w:pPr>
            <w:r w:rsidRPr="00916F73">
              <w:rPr>
                <w:b/>
              </w:rPr>
              <w:t xml:space="preserve">Race, Religion and belief </w:t>
            </w:r>
          </w:p>
          <w:p w14:paraId="52353883" w14:textId="6C39E493" w:rsidR="004922D0" w:rsidRPr="00916F73" w:rsidRDefault="00D143A6" w:rsidP="0051185E">
            <w:pPr>
              <w:rPr>
                <w:b/>
              </w:rPr>
            </w:pPr>
            <w:r w:rsidRPr="00D143A6">
              <w:t>For</w:t>
            </w:r>
            <w:r>
              <w:t xml:space="preserve"> communities in the Kirklees Rural area we do not foresee any impact caused by needing to travel to a different site within the hub area</w:t>
            </w:r>
            <w:r w:rsidRPr="00916F73">
              <w:t>.</w:t>
            </w:r>
          </w:p>
        </w:tc>
        <w:tc>
          <w:tcPr>
            <w:tcW w:w="5245" w:type="dxa"/>
          </w:tcPr>
          <w:p w14:paraId="5EC5EC9A" w14:textId="77777777" w:rsidR="004922D0" w:rsidRPr="00916F73" w:rsidRDefault="004922D0" w:rsidP="00BD4282">
            <w:pPr>
              <w:spacing w:after="120"/>
            </w:pPr>
            <w:r w:rsidRPr="00916F73">
              <w:t>N/a</w:t>
            </w:r>
          </w:p>
        </w:tc>
      </w:tr>
      <w:tr w:rsidR="004922D0" w:rsidRPr="00916F73" w14:paraId="6A9381EC" w14:textId="77777777" w:rsidTr="00BD4282">
        <w:tc>
          <w:tcPr>
            <w:tcW w:w="2093" w:type="dxa"/>
          </w:tcPr>
          <w:p w14:paraId="6DBCBF80" w14:textId="77777777" w:rsidR="004922D0" w:rsidRPr="00916F73" w:rsidRDefault="004922D0" w:rsidP="00BD4282">
            <w:pPr>
              <w:spacing w:after="120"/>
            </w:pPr>
          </w:p>
        </w:tc>
        <w:tc>
          <w:tcPr>
            <w:tcW w:w="2126" w:type="dxa"/>
          </w:tcPr>
          <w:p w14:paraId="7D0B90E0" w14:textId="77777777" w:rsidR="004922D0" w:rsidRPr="00916F73" w:rsidRDefault="004922D0" w:rsidP="00BD4282">
            <w:pPr>
              <w:spacing w:after="120"/>
            </w:pPr>
          </w:p>
        </w:tc>
        <w:tc>
          <w:tcPr>
            <w:tcW w:w="5245" w:type="dxa"/>
          </w:tcPr>
          <w:p w14:paraId="3FC1D97C" w14:textId="77777777" w:rsidR="004922D0" w:rsidRPr="00916F73" w:rsidRDefault="004922D0" w:rsidP="00BD4282">
            <w:pPr>
              <w:rPr>
                <w:b/>
              </w:rPr>
            </w:pPr>
            <w:r w:rsidRPr="00916F73">
              <w:rPr>
                <w:b/>
              </w:rPr>
              <w:t>Disability</w:t>
            </w:r>
          </w:p>
          <w:p w14:paraId="0AC14A7C" w14:textId="77777777" w:rsidR="004922D0" w:rsidRPr="00916F73" w:rsidRDefault="004922D0" w:rsidP="00BD4282">
            <w:pPr>
              <w:rPr>
                <w:b/>
              </w:rPr>
            </w:pPr>
            <w:r w:rsidRPr="00916F73">
              <w:rPr>
                <w:b/>
              </w:rPr>
              <w:t>People on low incomes</w:t>
            </w:r>
          </w:p>
          <w:p w14:paraId="345321C2" w14:textId="77777777" w:rsidR="004922D0" w:rsidRPr="00916F73" w:rsidRDefault="004922D0" w:rsidP="00BD4282">
            <w:pPr>
              <w:rPr>
                <w:b/>
              </w:rPr>
            </w:pPr>
            <w:r w:rsidRPr="00916F73">
              <w:rPr>
                <w:b/>
              </w:rPr>
              <w:t>Parents of young children</w:t>
            </w:r>
          </w:p>
          <w:p w14:paraId="435178E1" w14:textId="03087495" w:rsidR="004922D0" w:rsidRPr="00916F73" w:rsidRDefault="004922D0" w:rsidP="00BD4282">
            <w:pPr>
              <w:spacing w:after="120"/>
            </w:pPr>
            <w:r w:rsidRPr="00916F73">
              <w:t xml:space="preserve">There may be an impact on these groups if they need to travel to the central site to access information or advice. </w:t>
            </w:r>
          </w:p>
        </w:tc>
        <w:tc>
          <w:tcPr>
            <w:tcW w:w="5245" w:type="dxa"/>
          </w:tcPr>
          <w:p w14:paraId="2797187F" w14:textId="77777777" w:rsidR="004922D0" w:rsidRPr="00916F73" w:rsidRDefault="004922D0" w:rsidP="00BD4282">
            <w:pPr>
              <w:spacing w:after="120"/>
            </w:pPr>
            <w:r w:rsidRPr="00916F73">
              <w:t>See transport analysis</w:t>
            </w:r>
          </w:p>
        </w:tc>
      </w:tr>
      <w:tr w:rsidR="004922D0" w:rsidRPr="00916F73" w14:paraId="26AE78A4" w14:textId="77777777" w:rsidTr="00BD4282">
        <w:tc>
          <w:tcPr>
            <w:tcW w:w="2093" w:type="dxa"/>
          </w:tcPr>
          <w:p w14:paraId="37EC2702" w14:textId="52548BD5" w:rsidR="004922D0" w:rsidRPr="00916F73" w:rsidRDefault="00EB7023" w:rsidP="00BD4282">
            <w:pPr>
              <w:spacing w:after="120"/>
            </w:pPr>
            <w:r>
              <w:t>All other sites</w:t>
            </w:r>
          </w:p>
        </w:tc>
        <w:tc>
          <w:tcPr>
            <w:tcW w:w="2126" w:type="dxa"/>
          </w:tcPr>
          <w:p w14:paraId="79A13D42" w14:textId="77777777" w:rsidR="004922D0" w:rsidRPr="00916F73" w:rsidRDefault="004922D0" w:rsidP="00BD4282">
            <w:pPr>
              <w:spacing w:after="120"/>
            </w:pPr>
            <w:r w:rsidRPr="00916F73">
              <w:t>Surplus to requirement in the model</w:t>
            </w:r>
          </w:p>
        </w:tc>
        <w:tc>
          <w:tcPr>
            <w:tcW w:w="5245" w:type="dxa"/>
          </w:tcPr>
          <w:p w14:paraId="39B7FC65" w14:textId="77777777" w:rsidR="004922D0" w:rsidRPr="00916F73" w:rsidRDefault="004922D0" w:rsidP="00BD4282">
            <w:pPr>
              <w:rPr>
                <w:b/>
              </w:rPr>
            </w:pPr>
            <w:r w:rsidRPr="00916F73">
              <w:rPr>
                <w:b/>
              </w:rPr>
              <w:t>Age</w:t>
            </w:r>
          </w:p>
          <w:p w14:paraId="625A8C6D" w14:textId="77777777" w:rsidR="004922D0" w:rsidRPr="00916F73" w:rsidRDefault="004922D0" w:rsidP="00BD4282">
            <w:r w:rsidRPr="00916F73">
              <w:rPr>
                <w:b/>
              </w:rPr>
              <w:t>Gender reassignment</w:t>
            </w:r>
            <w:r w:rsidRPr="00916F73">
              <w:t xml:space="preserve"> </w:t>
            </w:r>
          </w:p>
          <w:p w14:paraId="46CA145A" w14:textId="77777777" w:rsidR="004922D0" w:rsidRPr="00916F73" w:rsidRDefault="004922D0" w:rsidP="00BD4282">
            <w:pPr>
              <w:rPr>
                <w:b/>
              </w:rPr>
            </w:pPr>
            <w:r w:rsidRPr="00916F73">
              <w:rPr>
                <w:b/>
              </w:rPr>
              <w:t>Marriage and Civil Partnership</w:t>
            </w:r>
          </w:p>
          <w:p w14:paraId="517BA9F8" w14:textId="77777777" w:rsidR="004922D0" w:rsidRPr="00916F73" w:rsidRDefault="004922D0" w:rsidP="00BD4282">
            <w:pPr>
              <w:rPr>
                <w:b/>
              </w:rPr>
            </w:pPr>
            <w:r w:rsidRPr="00916F73">
              <w:rPr>
                <w:b/>
              </w:rPr>
              <w:t>Pregnancy and Maternity</w:t>
            </w:r>
          </w:p>
          <w:p w14:paraId="103470CE" w14:textId="77777777" w:rsidR="004922D0" w:rsidRPr="00916F73" w:rsidRDefault="004922D0" w:rsidP="00BD4282">
            <w:pPr>
              <w:rPr>
                <w:b/>
              </w:rPr>
            </w:pPr>
            <w:r w:rsidRPr="00916F73">
              <w:rPr>
                <w:b/>
              </w:rPr>
              <w:t>Sex</w:t>
            </w:r>
          </w:p>
          <w:p w14:paraId="46D83CEB" w14:textId="77777777" w:rsidR="004922D0" w:rsidRPr="00916F73" w:rsidRDefault="004922D0" w:rsidP="00BD4282">
            <w:pPr>
              <w:rPr>
                <w:b/>
              </w:rPr>
            </w:pPr>
            <w:r w:rsidRPr="00916F73">
              <w:rPr>
                <w:b/>
              </w:rPr>
              <w:t>Sexual Orientation</w:t>
            </w:r>
          </w:p>
          <w:p w14:paraId="70A5D20B" w14:textId="77777777" w:rsidR="004922D0" w:rsidRPr="00916F73" w:rsidRDefault="004922D0" w:rsidP="00BD4282">
            <w:r w:rsidRPr="00916F73">
              <w:t>Not site-specific</w:t>
            </w:r>
          </w:p>
        </w:tc>
        <w:tc>
          <w:tcPr>
            <w:tcW w:w="5245" w:type="dxa"/>
          </w:tcPr>
          <w:p w14:paraId="2477E590" w14:textId="77777777" w:rsidR="004922D0" w:rsidRPr="00916F73" w:rsidRDefault="004922D0" w:rsidP="00BD4282">
            <w:pPr>
              <w:rPr>
                <w:b/>
              </w:rPr>
            </w:pPr>
            <w:r w:rsidRPr="00916F73">
              <w:t>N/a</w:t>
            </w:r>
          </w:p>
        </w:tc>
      </w:tr>
      <w:tr w:rsidR="004922D0" w:rsidRPr="00916F73" w14:paraId="77C973A9" w14:textId="77777777" w:rsidTr="00BD4282">
        <w:tc>
          <w:tcPr>
            <w:tcW w:w="2093" w:type="dxa"/>
          </w:tcPr>
          <w:p w14:paraId="0E56EF51" w14:textId="77777777" w:rsidR="004922D0" w:rsidRPr="00916F73" w:rsidRDefault="004922D0" w:rsidP="00BD4282">
            <w:pPr>
              <w:spacing w:after="120"/>
            </w:pPr>
          </w:p>
        </w:tc>
        <w:tc>
          <w:tcPr>
            <w:tcW w:w="2126" w:type="dxa"/>
          </w:tcPr>
          <w:p w14:paraId="3827B1B2" w14:textId="77777777" w:rsidR="004922D0" w:rsidRPr="00916F73" w:rsidRDefault="004922D0" w:rsidP="00BD4282">
            <w:pPr>
              <w:spacing w:after="120"/>
            </w:pPr>
          </w:p>
        </w:tc>
        <w:tc>
          <w:tcPr>
            <w:tcW w:w="5245" w:type="dxa"/>
          </w:tcPr>
          <w:p w14:paraId="65D8C723" w14:textId="77777777" w:rsidR="004922D0" w:rsidRPr="00916F73" w:rsidRDefault="004922D0" w:rsidP="00BD4282">
            <w:pPr>
              <w:rPr>
                <w:b/>
              </w:rPr>
            </w:pPr>
            <w:r w:rsidRPr="00916F73">
              <w:rPr>
                <w:b/>
              </w:rPr>
              <w:t xml:space="preserve">Race, Religion and belief </w:t>
            </w:r>
          </w:p>
          <w:p w14:paraId="485C82E0" w14:textId="7B9307C8" w:rsidR="004922D0" w:rsidRPr="00916F73" w:rsidRDefault="00D143A6" w:rsidP="00BD4282">
            <w:pPr>
              <w:rPr>
                <w:b/>
              </w:rPr>
            </w:pPr>
            <w:r w:rsidRPr="00D143A6">
              <w:t>For</w:t>
            </w:r>
            <w:r>
              <w:t xml:space="preserve"> communities in the Kirklees Rural area we do not foresee any impact caused by needing to travel to a different site within the hub area</w:t>
            </w:r>
            <w:r w:rsidRPr="00916F73">
              <w:t>.</w:t>
            </w:r>
          </w:p>
        </w:tc>
        <w:tc>
          <w:tcPr>
            <w:tcW w:w="5245" w:type="dxa"/>
          </w:tcPr>
          <w:p w14:paraId="20159A34" w14:textId="77777777" w:rsidR="004922D0" w:rsidRPr="00916F73" w:rsidRDefault="004922D0" w:rsidP="00BD4282">
            <w:pPr>
              <w:spacing w:after="120"/>
            </w:pPr>
            <w:r w:rsidRPr="00916F73">
              <w:t>N/a</w:t>
            </w:r>
          </w:p>
        </w:tc>
      </w:tr>
      <w:tr w:rsidR="004922D0" w:rsidRPr="00916F73" w14:paraId="56CB3740" w14:textId="77777777" w:rsidTr="00BD4282">
        <w:tc>
          <w:tcPr>
            <w:tcW w:w="2093" w:type="dxa"/>
          </w:tcPr>
          <w:p w14:paraId="06671222" w14:textId="77777777" w:rsidR="004922D0" w:rsidRPr="00916F73" w:rsidRDefault="004922D0" w:rsidP="00BD4282">
            <w:pPr>
              <w:spacing w:after="120"/>
            </w:pPr>
          </w:p>
        </w:tc>
        <w:tc>
          <w:tcPr>
            <w:tcW w:w="2126" w:type="dxa"/>
          </w:tcPr>
          <w:p w14:paraId="3B2F6005" w14:textId="77777777" w:rsidR="004922D0" w:rsidRPr="00916F73" w:rsidRDefault="004922D0" w:rsidP="00BD4282">
            <w:pPr>
              <w:spacing w:after="120"/>
            </w:pPr>
          </w:p>
        </w:tc>
        <w:tc>
          <w:tcPr>
            <w:tcW w:w="5245" w:type="dxa"/>
          </w:tcPr>
          <w:p w14:paraId="2383661A" w14:textId="77777777" w:rsidR="004922D0" w:rsidRPr="00916F73" w:rsidRDefault="004922D0" w:rsidP="00BD4282">
            <w:pPr>
              <w:rPr>
                <w:b/>
              </w:rPr>
            </w:pPr>
            <w:r w:rsidRPr="00916F73">
              <w:rPr>
                <w:b/>
              </w:rPr>
              <w:t>Disability</w:t>
            </w:r>
          </w:p>
          <w:p w14:paraId="02F0B576" w14:textId="77777777" w:rsidR="004922D0" w:rsidRPr="00916F73" w:rsidRDefault="004922D0" w:rsidP="00BD4282">
            <w:pPr>
              <w:rPr>
                <w:b/>
              </w:rPr>
            </w:pPr>
            <w:r w:rsidRPr="00916F73">
              <w:rPr>
                <w:b/>
              </w:rPr>
              <w:t>People on low incomes</w:t>
            </w:r>
          </w:p>
          <w:p w14:paraId="676E2451" w14:textId="77777777" w:rsidR="004922D0" w:rsidRPr="00916F73" w:rsidRDefault="004922D0" w:rsidP="00BD4282">
            <w:pPr>
              <w:rPr>
                <w:b/>
              </w:rPr>
            </w:pPr>
            <w:r w:rsidRPr="00916F73">
              <w:rPr>
                <w:b/>
              </w:rPr>
              <w:t>Parents of young children</w:t>
            </w:r>
          </w:p>
          <w:p w14:paraId="077416F7" w14:textId="77777777" w:rsidR="004922D0" w:rsidRPr="00916F73" w:rsidRDefault="004922D0" w:rsidP="00BD4282">
            <w:r w:rsidRPr="00916F73">
              <w:t xml:space="preserve">There may be an impact on these groups if they need to travel to the alternative sites to access services. </w:t>
            </w:r>
          </w:p>
        </w:tc>
        <w:tc>
          <w:tcPr>
            <w:tcW w:w="5245" w:type="dxa"/>
          </w:tcPr>
          <w:p w14:paraId="0BA1BC8D" w14:textId="77777777" w:rsidR="004922D0" w:rsidRPr="00916F73" w:rsidRDefault="004922D0" w:rsidP="00BD4282">
            <w:pPr>
              <w:rPr>
                <w:b/>
              </w:rPr>
            </w:pPr>
            <w:r>
              <w:t>See transport analysis</w:t>
            </w:r>
          </w:p>
        </w:tc>
      </w:tr>
    </w:tbl>
    <w:p w14:paraId="16D6C663" w14:textId="21DD5A0E" w:rsidR="00753E48" w:rsidRDefault="00DE18BC" w:rsidP="00DE18BC">
      <w:pPr>
        <w:rPr>
          <w:b/>
          <w:sz w:val="32"/>
          <w:szCs w:val="32"/>
        </w:rPr>
      </w:pPr>
      <w:r w:rsidRPr="00DE18BC">
        <w:rPr>
          <w:b/>
          <w:sz w:val="32"/>
          <w:szCs w:val="32"/>
        </w:rPr>
        <w:lastRenderedPageBreak/>
        <w:t>Impact of changes on Kirklees staff</w:t>
      </w:r>
    </w:p>
    <w:tbl>
      <w:tblPr>
        <w:tblStyle w:val="TableGrid"/>
        <w:tblW w:w="14709" w:type="dxa"/>
        <w:tblLook w:val="04A0" w:firstRow="1" w:lastRow="0" w:firstColumn="1" w:lastColumn="0" w:noHBand="0" w:noVBand="1"/>
      </w:tblPr>
      <w:tblGrid>
        <w:gridCol w:w="4077"/>
        <w:gridCol w:w="5387"/>
        <w:gridCol w:w="5245"/>
      </w:tblGrid>
      <w:tr w:rsidR="00B16E39" w:rsidRPr="00125E81" w14:paraId="16D6C667" w14:textId="77777777" w:rsidTr="00B16E39">
        <w:trPr>
          <w:tblHeader/>
        </w:trPr>
        <w:tc>
          <w:tcPr>
            <w:tcW w:w="4077" w:type="dxa"/>
          </w:tcPr>
          <w:p w14:paraId="16D6C664" w14:textId="77777777" w:rsidR="00B16E39" w:rsidRPr="00125E81" w:rsidRDefault="00B16E39" w:rsidP="00B16E39">
            <w:pPr>
              <w:rPr>
                <w:b/>
              </w:rPr>
            </w:pPr>
            <w:r>
              <w:rPr>
                <w:b/>
              </w:rPr>
              <w:t xml:space="preserve">Element of the proposals </w:t>
            </w:r>
          </w:p>
        </w:tc>
        <w:tc>
          <w:tcPr>
            <w:tcW w:w="5387" w:type="dxa"/>
          </w:tcPr>
          <w:p w14:paraId="16D6C665" w14:textId="062503F3" w:rsidR="00B16E39" w:rsidRPr="00125E81" w:rsidRDefault="00B16E39" w:rsidP="0038406C">
            <w:pPr>
              <w:rPr>
                <w:b/>
              </w:rPr>
            </w:pPr>
            <w:r w:rsidRPr="00125E81">
              <w:rPr>
                <w:b/>
              </w:rPr>
              <w:t xml:space="preserve">Impact on groups of Kirklees </w:t>
            </w:r>
            <w:r>
              <w:rPr>
                <w:b/>
              </w:rPr>
              <w:t>staff</w:t>
            </w:r>
            <w:r w:rsidR="0038406C">
              <w:rPr>
                <w:b/>
              </w:rPr>
              <w:t xml:space="preserve"> with protected characteristics</w:t>
            </w:r>
          </w:p>
        </w:tc>
        <w:tc>
          <w:tcPr>
            <w:tcW w:w="5245" w:type="dxa"/>
          </w:tcPr>
          <w:p w14:paraId="16D6C666" w14:textId="77777777" w:rsidR="00B16E39" w:rsidRPr="00125E81" w:rsidRDefault="00B16E39" w:rsidP="00E3657A">
            <w:pPr>
              <w:rPr>
                <w:b/>
              </w:rPr>
            </w:pPr>
            <w:r>
              <w:rPr>
                <w:b/>
              </w:rPr>
              <w:t>Mitigation</w:t>
            </w:r>
          </w:p>
        </w:tc>
      </w:tr>
      <w:tr w:rsidR="00B16E39" w14:paraId="16D6C66C" w14:textId="77777777" w:rsidTr="00B16E39">
        <w:tc>
          <w:tcPr>
            <w:tcW w:w="4077" w:type="dxa"/>
          </w:tcPr>
          <w:p w14:paraId="16D6C668" w14:textId="77777777" w:rsidR="00B16E39" w:rsidRDefault="00610382" w:rsidP="00095697">
            <w:pPr>
              <w:spacing w:after="120"/>
            </w:pPr>
            <w:r>
              <w:t>Changes to locations of workplaces</w:t>
            </w:r>
          </w:p>
        </w:tc>
        <w:tc>
          <w:tcPr>
            <w:tcW w:w="5387" w:type="dxa"/>
          </w:tcPr>
          <w:p w14:paraId="16D6C669" w14:textId="77777777" w:rsidR="00B16E39" w:rsidRDefault="00B16E39" w:rsidP="00095697">
            <w:pPr>
              <w:rPr>
                <w:b/>
              </w:rPr>
            </w:pPr>
            <w:r w:rsidRPr="00F17DD6">
              <w:rPr>
                <w:b/>
              </w:rPr>
              <w:t>Sex</w:t>
            </w:r>
          </w:p>
          <w:p w14:paraId="16D6C66A" w14:textId="77777777" w:rsidR="00B16E39" w:rsidRPr="000D6469" w:rsidRDefault="00610382" w:rsidP="000D6469">
            <w:pPr>
              <w:spacing w:after="120"/>
            </w:pPr>
            <w:r w:rsidRPr="00610382">
              <w:t xml:space="preserve">It is possible that the proposals impact disproportionately on female staff, as the workforce in EITSS in particular is predominantly female. </w:t>
            </w:r>
          </w:p>
        </w:tc>
        <w:tc>
          <w:tcPr>
            <w:tcW w:w="5245" w:type="dxa"/>
          </w:tcPr>
          <w:p w14:paraId="16D6C66B" w14:textId="2C3B5EFD" w:rsidR="00B16E39" w:rsidRDefault="00AE0D0F" w:rsidP="00AE0D0F">
            <w:pPr>
              <w:spacing w:after="120"/>
            </w:pPr>
            <w:r>
              <w:t>Although many staff members took part in the consultation, impact on the workforce did not come up. We will therefore carry out specific consultation with affected staff and Trade Unions in 2017.</w:t>
            </w:r>
          </w:p>
        </w:tc>
      </w:tr>
      <w:tr w:rsidR="00DC4636" w14:paraId="16D6C674" w14:textId="77777777" w:rsidTr="00B16E39">
        <w:tc>
          <w:tcPr>
            <w:tcW w:w="4077" w:type="dxa"/>
          </w:tcPr>
          <w:p w14:paraId="16D6C66D" w14:textId="77777777" w:rsidR="00DC4636" w:rsidRDefault="00DC4636" w:rsidP="00E3657A">
            <w:pPr>
              <w:spacing w:after="120"/>
            </w:pPr>
          </w:p>
        </w:tc>
        <w:tc>
          <w:tcPr>
            <w:tcW w:w="5387" w:type="dxa"/>
          </w:tcPr>
          <w:p w14:paraId="16D6C66E" w14:textId="77777777" w:rsidR="00DC4636" w:rsidRPr="00DC4636" w:rsidRDefault="00DC4636" w:rsidP="00DC4636">
            <w:pPr>
              <w:rPr>
                <w:b/>
              </w:rPr>
            </w:pPr>
            <w:r w:rsidRPr="00DC4636">
              <w:rPr>
                <w:b/>
              </w:rPr>
              <w:t>Age</w:t>
            </w:r>
          </w:p>
          <w:p w14:paraId="16D6C66F" w14:textId="77777777" w:rsidR="00DC4636" w:rsidRPr="00DC4636" w:rsidRDefault="00DC4636" w:rsidP="00DC4636">
            <w:pPr>
              <w:rPr>
                <w:b/>
              </w:rPr>
            </w:pPr>
            <w:r w:rsidRPr="00DC4636">
              <w:rPr>
                <w:b/>
              </w:rPr>
              <w:t>Disability</w:t>
            </w:r>
          </w:p>
          <w:p w14:paraId="16D6C670" w14:textId="77777777" w:rsidR="00DC4636" w:rsidRPr="00DC4636" w:rsidRDefault="00DC4636" w:rsidP="00DC4636">
            <w:pPr>
              <w:rPr>
                <w:b/>
              </w:rPr>
            </w:pPr>
            <w:r w:rsidRPr="00DC4636">
              <w:rPr>
                <w:b/>
              </w:rPr>
              <w:t>Pregnancy and maternity</w:t>
            </w:r>
          </w:p>
          <w:p w14:paraId="16D6C671" w14:textId="77777777" w:rsidR="00DC4636" w:rsidRDefault="00DC4636" w:rsidP="00DC4636">
            <w:pPr>
              <w:rPr>
                <w:b/>
              </w:rPr>
            </w:pPr>
            <w:r w:rsidRPr="00DC4636">
              <w:rPr>
                <w:b/>
              </w:rPr>
              <w:t>Race, religion and belief</w:t>
            </w:r>
          </w:p>
          <w:p w14:paraId="16D6C672" w14:textId="48B8EF9B" w:rsidR="00DC4636" w:rsidRPr="00807908" w:rsidRDefault="00DC4636" w:rsidP="00DC4636">
            <w:r w:rsidRPr="00DC4636">
              <w:t>We do not yet know what impact the proposals may have on staff from these</w:t>
            </w:r>
            <w:r w:rsidR="008C0246">
              <w:t xml:space="preserve"> </w:t>
            </w:r>
            <w:r w:rsidRPr="00DC4636">
              <w:t xml:space="preserve">groups. </w:t>
            </w:r>
          </w:p>
        </w:tc>
        <w:tc>
          <w:tcPr>
            <w:tcW w:w="5245" w:type="dxa"/>
          </w:tcPr>
          <w:p w14:paraId="16D6C673" w14:textId="71879E50" w:rsidR="00DC4636" w:rsidRDefault="00AE0D0F" w:rsidP="00E3657A">
            <w:pPr>
              <w:spacing w:after="120"/>
            </w:pPr>
            <w:r>
              <w:t>Although many staff members took part in the consultation, impact on the workforce did not come up. We will therefore carry out specific consultation with affected staff and Trade Unions in 2017.</w:t>
            </w:r>
          </w:p>
        </w:tc>
      </w:tr>
      <w:tr w:rsidR="00B16E39" w14:paraId="16D6C678" w14:textId="77777777" w:rsidTr="00B16E39">
        <w:tc>
          <w:tcPr>
            <w:tcW w:w="4077" w:type="dxa"/>
          </w:tcPr>
          <w:p w14:paraId="16D6C675" w14:textId="77777777" w:rsidR="00B16E39" w:rsidRDefault="00B16E39" w:rsidP="00E3657A">
            <w:pPr>
              <w:spacing w:after="120"/>
            </w:pPr>
          </w:p>
        </w:tc>
        <w:tc>
          <w:tcPr>
            <w:tcW w:w="5387" w:type="dxa"/>
          </w:tcPr>
          <w:p w14:paraId="16D6C676" w14:textId="415DB8EF" w:rsidR="00B16E39" w:rsidRDefault="00610382" w:rsidP="0038406C">
            <w:pPr>
              <w:spacing w:after="120"/>
            </w:pPr>
            <w:r w:rsidRPr="00807908">
              <w:t xml:space="preserve">We do not foresee any impact on </w:t>
            </w:r>
            <w:r>
              <w:t>any of the other groups</w:t>
            </w:r>
            <w:r w:rsidR="008F65A0">
              <w:t xml:space="preserve"> </w:t>
            </w:r>
            <w:r w:rsidR="0038406C">
              <w:t xml:space="preserve">with protected characteristics </w:t>
            </w:r>
            <w:r w:rsidR="008F65A0">
              <w:t>within the workforce</w:t>
            </w:r>
            <w:r>
              <w:t>.</w:t>
            </w:r>
          </w:p>
        </w:tc>
        <w:tc>
          <w:tcPr>
            <w:tcW w:w="5245" w:type="dxa"/>
          </w:tcPr>
          <w:p w14:paraId="16D6C677" w14:textId="77777777" w:rsidR="00B16E39" w:rsidRDefault="00B16E39" w:rsidP="00E3657A">
            <w:pPr>
              <w:spacing w:after="120"/>
            </w:pPr>
          </w:p>
        </w:tc>
      </w:tr>
    </w:tbl>
    <w:p w14:paraId="4A15CB96" w14:textId="42F91CBB" w:rsidR="0065228E" w:rsidRPr="0065228E" w:rsidRDefault="0065228E" w:rsidP="00DB7B5D">
      <w:pPr>
        <w:spacing w:before="600" w:line="240" w:lineRule="auto"/>
        <w:rPr>
          <w:b/>
          <w:sz w:val="32"/>
          <w:szCs w:val="32"/>
        </w:rPr>
      </w:pPr>
      <w:r w:rsidRPr="0065228E">
        <w:rPr>
          <w:b/>
          <w:sz w:val="32"/>
          <w:szCs w:val="32"/>
        </w:rPr>
        <w:t>Transport analysis</w:t>
      </w:r>
    </w:p>
    <w:p w14:paraId="413018CD" w14:textId="77777777" w:rsidR="0065228E" w:rsidRPr="003500ED" w:rsidRDefault="0065228E" w:rsidP="0065228E">
      <w:pPr>
        <w:rPr>
          <w:b/>
          <w:sz w:val="28"/>
          <w:szCs w:val="28"/>
        </w:rPr>
      </w:pPr>
      <w:r w:rsidRPr="003500ED">
        <w:rPr>
          <w:b/>
          <w:sz w:val="28"/>
          <w:szCs w:val="28"/>
        </w:rPr>
        <w:t>Methodology</w:t>
      </w:r>
    </w:p>
    <w:p w14:paraId="0A58ADA2" w14:textId="1FFC0FD4" w:rsidR="0065228E" w:rsidRPr="0065228E" w:rsidRDefault="0065228E" w:rsidP="0065228E">
      <w:r w:rsidRPr="0065228E">
        <w:t xml:space="preserve">Maps of each Early Help Hub area have been produced which show the proposed </w:t>
      </w:r>
      <w:r w:rsidR="006D05A6">
        <w:t>central</w:t>
      </w:r>
      <w:r w:rsidRPr="0065228E">
        <w:t xml:space="preserve"> sites</w:t>
      </w:r>
      <w:r w:rsidR="006D05A6">
        <w:t xml:space="preserve"> and designated children’s centres</w:t>
      </w:r>
      <w:r w:rsidRPr="0065228E">
        <w:t>, and the specific bus routes which serve them. The parts of the hub area (LSOAs) which fall into the most deprived 30% are also shown as this is where we know there will be the greatest concentration of families needing support.</w:t>
      </w:r>
      <w:r w:rsidR="00DB7B5D">
        <w:t xml:space="preserve"> </w:t>
      </w:r>
      <w:r w:rsidRPr="0065228E">
        <w:t xml:space="preserve">Conclusions and observations have been drawn from these maps, and staff with local knowledge of the four hub areas have provided advice.  </w:t>
      </w:r>
    </w:p>
    <w:p w14:paraId="4B6ED364" w14:textId="77777777" w:rsidR="00585461" w:rsidRPr="0065228E" w:rsidRDefault="00585461" w:rsidP="00585461">
      <w:pPr>
        <w:spacing w:before="360" w:line="240" w:lineRule="auto"/>
        <w:rPr>
          <w:b/>
          <w:sz w:val="32"/>
          <w:szCs w:val="32"/>
        </w:rPr>
      </w:pPr>
      <w:r w:rsidRPr="0065228E">
        <w:rPr>
          <w:b/>
          <w:sz w:val="32"/>
          <w:szCs w:val="32"/>
        </w:rPr>
        <w:t>Batley and Spen</w:t>
      </w:r>
    </w:p>
    <w:p w14:paraId="75B08E66" w14:textId="77777777" w:rsidR="00585461" w:rsidRPr="00F74F4C" w:rsidRDefault="00585461" w:rsidP="00585461">
      <w:pPr>
        <w:spacing w:after="120" w:line="240" w:lineRule="auto"/>
        <w:rPr>
          <w:b/>
          <w:sz w:val="28"/>
          <w:szCs w:val="28"/>
        </w:rPr>
      </w:pPr>
      <w:r w:rsidRPr="00F74F4C">
        <w:rPr>
          <w:b/>
          <w:sz w:val="28"/>
          <w:szCs w:val="28"/>
        </w:rPr>
        <w:t>Areas which are well-served</w:t>
      </w:r>
    </w:p>
    <w:p w14:paraId="1153CE8D" w14:textId="1EA94812" w:rsidR="00585461" w:rsidRPr="00F74F4C" w:rsidRDefault="00585461" w:rsidP="00585461">
      <w:pPr>
        <w:pStyle w:val="ListParagraph"/>
        <w:numPr>
          <w:ilvl w:val="0"/>
          <w:numId w:val="2"/>
        </w:numPr>
      </w:pPr>
      <w:r w:rsidRPr="00F74F4C">
        <w:t xml:space="preserve">Most people living in and around Batley will be within walking distance of either </w:t>
      </w:r>
      <w:r w:rsidR="00BD4282">
        <w:t>the town centre</w:t>
      </w:r>
      <w:r w:rsidRPr="00F74F4C">
        <w:t xml:space="preserve"> or a bus route serving </w:t>
      </w:r>
      <w:r w:rsidR="00BD4282">
        <w:t>the town centre</w:t>
      </w:r>
      <w:r w:rsidRPr="00F74F4C">
        <w:t>.</w:t>
      </w:r>
    </w:p>
    <w:p w14:paraId="5727B57D" w14:textId="77777777" w:rsidR="00585461" w:rsidRDefault="00585461" w:rsidP="00585461">
      <w:pPr>
        <w:pStyle w:val="ListParagraph"/>
        <w:numPr>
          <w:ilvl w:val="0"/>
          <w:numId w:val="2"/>
        </w:numPr>
      </w:pPr>
      <w:r w:rsidRPr="00F74F4C">
        <w:lastRenderedPageBreak/>
        <w:t>Residents of Fieldhead estate will be in walking distance of Birstall &amp; Birkenshaw Children’s Centre</w:t>
      </w:r>
    </w:p>
    <w:p w14:paraId="2D42F11A" w14:textId="0124420D" w:rsidR="00BD4282" w:rsidRPr="00F74F4C" w:rsidRDefault="00BD4282" w:rsidP="00585461">
      <w:pPr>
        <w:pStyle w:val="ListParagraph"/>
        <w:numPr>
          <w:ilvl w:val="0"/>
          <w:numId w:val="2"/>
        </w:numPr>
      </w:pPr>
      <w:r>
        <w:t>Many, but not all, residents across the hub area will be able to reach Batley town centre by bus</w:t>
      </w:r>
    </w:p>
    <w:p w14:paraId="77C5864B" w14:textId="77777777" w:rsidR="00585461" w:rsidRPr="00F74F4C" w:rsidRDefault="00585461" w:rsidP="00585461">
      <w:pPr>
        <w:spacing w:after="120" w:line="240" w:lineRule="auto"/>
        <w:rPr>
          <w:b/>
          <w:sz w:val="28"/>
          <w:szCs w:val="28"/>
        </w:rPr>
      </w:pPr>
      <w:r w:rsidRPr="00F74F4C">
        <w:rPr>
          <w:b/>
          <w:sz w:val="28"/>
          <w:szCs w:val="28"/>
        </w:rPr>
        <w:t>Areas which are less well-served</w:t>
      </w:r>
    </w:p>
    <w:p w14:paraId="27C9B588" w14:textId="5F63AE79" w:rsidR="00BD4282" w:rsidRDefault="00BD4282" w:rsidP="00BD4282">
      <w:pPr>
        <w:pStyle w:val="ListParagraph"/>
        <w:numPr>
          <w:ilvl w:val="0"/>
          <w:numId w:val="2"/>
        </w:numPr>
      </w:pPr>
      <w:r w:rsidRPr="00BD4282">
        <w:t xml:space="preserve">Residents of Scholes, Windy Bank estate, Cleckheaton, Gomersal, Birkenshaw as well as several smaller communities have no local delivery site; public transport to the </w:t>
      </w:r>
      <w:r>
        <w:t>designated children’s centre</w:t>
      </w:r>
      <w:r w:rsidRPr="00BD4282">
        <w:t xml:space="preserve"> is limited and </w:t>
      </w:r>
      <w:r>
        <w:t xml:space="preserve">/ </w:t>
      </w:r>
      <w:r w:rsidRPr="00BD4282">
        <w:t>or will require two or more buses each way.</w:t>
      </w:r>
    </w:p>
    <w:p w14:paraId="67069495" w14:textId="51669EA2" w:rsidR="00BD4282" w:rsidRPr="00BD4282" w:rsidRDefault="00BD4282" w:rsidP="00BD4282">
      <w:pPr>
        <w:pStyle w:val="ListParagraph"/>
        <w:numPr>
          <w:ilvl w:val="0"/>
          <w:numId w:val="2"/>
        </w:numPr>
      </w:pPr>
      <w:r>
        <w:t>Some parts of the hub area have limited access to Batley town centre</w:t>
      </w:r>
    </w:p>
    <w:p w14:paraId="60A01352" w14:textId="22690971" w:rsidR="00585461" w:rsidRPr="00585461" w:rsidRDefault="00585461" w:rsidP="00585461">
      <w:pPr>
        <w:spacing w:after="120" w:line="240" w:lineRule="auto"/>
        <w:rPr>
          <w:b/>
          <w:sz w:val="28"/>
          <w:szCs w:val="28"/>
        </w:rPr>
      </w:pPr>
      <w:r w:rsidRPr="00585461">
        <w:rPr>
          <w:b/>
          <w:sz w:val="28"/>
          <w:szCs w:val="28"/>
        </w:rPr>
        <w:t>Proposed mitigation</w:t>
      </w:r>
    </w:p>
    <w:p w14:paraId="781219E9" w14:textId="447C2254" w:rsidR="00585461" w:rsidRPr="00F74F4C" w:rsidRDefault="00BD4282" w:rsidP="00585461">
      <w:pPr>
        <w:pStyle w:val="ListParagraph"/>
        <w:numPr>
          <w:ilvl w:val="0"/>
          <w:numId w:val="2"/>
        </w:numPr>
      </w:pPr>
      <w:r>
        <w:t>Much delivery will take place in community venues, in the places where it is needed</w:t>
      </w:r>
      <w:r w:rsidR="00585461" w:rsidRPr="00F74F4C">
        <w:t xml:space="preserve">. For example, a central location in Cleckheaton should be accessible for many communities </w:t>
      </w:r>
      <w:r w:rsidR="00006AC2">
        <w:t>in that area</w:t>
      </w:r>
      <w:r w:rsidR="00585461" w:rsidRPr="00F74F4C">
        <w:t>.</w:t>
      </w:r>
    </w:p>
    <w:p w14:paraId="6978F9C7" w14:textId="77777777" w:rsidR="00585461" w:rsidRPr="00F74F4C" w:rsidRDefault="00585461" w:rsidP="00585461">
      <w:pPr>
        <w:pStyle w:val="ListParagraph"/>
        <w:numPr>
          <w:ilvl w:val="0"/>
          <w:numId w:val="2"/>
        </w:numPr>
      </w:pPr>
      <w:r w:rsidRPr="00F74F4C">
        <w:t>Home visits may be the best option for some residents</w:t>
      </w:r>
    </w:p>
    <w:p w14:paraId="61132421" w14:textId="358BE0F8" w:rsidR="00585461" w:rsidRPr="00F74F4C" w:rsidRDefault="00585461" w:rsidP="00585461">
      <w:pPr>
        <w:pStyle w:val="ListParagraph"/>
        <w:numPr>
          <w:ilvl w:val="0"/>
          <w:numId w:val="2"/>
        </w:numPr>
      </w:pPr>
      <w:r w:rsidRPr="00F74F4C">
        <w:t xml:space="preserve">Some residents in Batley and Spen have better bus links to Dewsbury town centre than to Batley. </w:t>
      </w:r>
      <w:r w:rsidR="00006AC2">
        <w:t>R</w:t>
      </w:r>
      <w:r w:rsidRPr="00F74F4C">
        <w:t xml:space="preserve">esidents </w:t>
      </w:r>
      <w:r w:rsidR="00006AC2">
        <w:t xml:space="preserve">will be able to use </w:t>
      </w:r>
      <w:r w:rsidRPr="00F74F4C">
        <w:t>to use Dewsbury town centre sites</w:t>
      </w:r>
      <w:r w:rsidR="00006AC2">
        <w:t xml:space="preserve"> if they wish</w:t>
      </w:r>
      <w:r w:rsidRPr="00F74F4C">
        <w:t>.</w:t>
      </w:r>
    </w:p>
    <w:p w14:paraId="365DE1DA" w14:textId="77777777" w:rsidR="00585461" w:rsidRDefault="00585461" w:rsidP="00585461">
      <w:pPr>
        <w:pStyle w:val="ListParagraph"/>
        <w:numPr>
          <w:ilvl w:val="0"/>
          <w:numId w:val="2"/>
        </w:numPr>
      </w:pPr>
      <w:r w:rsidRPr="00F74F4C">
        <w:t>Some of the communities at the edge of our district may find it easier to access services in neighbouring authorities; we may be able to explore reciprocal arrangements with those authorities.</w:t>
      </w:r>
    </w:p>
    <w:p w14:paraId="79324797" w14:textId="3E30030E" w:rsidR="00600C6F" w:rsidRPr="00F74F4C" w:rsidRDefault="00600C6F" w:rsidP="00585461">
      <w:pPr>
        <w:pStyle w:val="ListParagraph"/>
        <w:numPr>
          <w:ilvl w:val="0"/>
          <w:numId w:val="2"/>
        </w:numPr>
      </w:pPr>
      <w:r>
        <w:t>In the short term, the Early Help Hub will continue to use some of the existing sites which are surplus to requirements; in the longer term, some of these venues may be taken over by partners or community groups, and may continue to be available to the Early Help hub for delivery.</w:t>
      </w:r>
    </w:p>
    <w:p w14:paraId="4AAE3632" w14:textId="77777777" w:rsidR="00585461" w:rsidRPr="0065228E" w:rsidRDefault="00585461" w:rsidP="00585461">
      <w:pPr>
        <w:spacing w:before="360" w:line="240" w:lineRule="auto"/>
        <w:rPr>
          <w:b/>
          <w:sz w:val="32"/>
          <w:szCs w:val="32"/>
        </w:rPr>
      </w:pPr>
      <w:r w:rsidRPr="0065228E">
        <w:rPr>
          <w:b/>
          <w:sz w:val="32"/>
          <w:szCs w:val="32"/>
        </w:rPr>
        <w:t>Huddersfield</w:t>
      </w:r>
    </w:p>
    <w:p w14:paraId="1861F961" w14:textId="77777777" w:rsidR="00585461" w:rsidRPr="00F74F4C" w:rsidRDefault="00585461" w:rsidP="00585461">
      <w:pPr>
        <w:spacing w:after="120" w:line="240" w:lineRule="auto"/>
        <w:ind w:firstLine="360"/>
        <w:rPr>
          <w:b/>
          <w:sz w:val="28"/>
          <w:szCs w:val="28"/>
        </w:rPr>
      </w:pPr>
      <w:r w:rsidRPr="00F74F4C">
        <w:rPr>
          <w:b/>
          <w:sz w:val="28"/>
          <w:szCs w:val="28"/>
        </w:rPr>
        <w:t>Areas which are well-served</w:t>
      </w:r>
    </w:p>
    <w:p w14:paraId="01A8B038" w14:textId="722803BD" w:rsidR="00585461" w:rsidRPr="00F74F4C" w:rsidRDefault="00585461" w:rsidP="00585461">
      <w:pPr>
        <w:pStyle w:val="ListParagraph"/>
        <w:numPr>
          <w:ilvl w:val="0"/>
          <w:numId w:val="2"/>
        </w:numPr>
      </w:pPr>
      <w:r w:rsidRPr="00F74F4C">
        <w:t xml:space="preserve">Most residents of the </w:t>
      </w:r>
      <w:r w:rsidR="00723CFD">
        <w:t>Deighton, Sheepridge and Fartown</w:t>
      </w:r>
      <w:r w:rsidR="00723CFD" w:rsidRPr="00F74F4C">
        <w:t xml:space="preserve"> area</w:t>
      </w:r>
      <w:r w:rsidR="00723CFD">
        <w:t>s</w:t>
      </w:r>
      <w:r w:rsidR="00723CFD" w:rsidRPr="00F74F4C">
        <w:t xml:space="preserve"> </w:t>
      </w:r>
      <w:r w:rsidRPr="00F74F4C">
        <w:t>north of the railway line</w:t>
      </w:r>
      <w:r w:rsidR="00814028">
        <w:t>, and some residents of the Crosland Moor / Balmoral Avenue area</w:t>
      </w:r>
      <w:r w:rsidRPr="00F74F4C">
        <w:t xml:space="preserve"> will be able to reach the Chestnut Centre either by bus or on foot.</w:t>
      </w:r>
    </w:p>
    <w:p w14:paraId="4A84EE91" w14:textId="087544A1" w:rsidR="00585461" w:rsidRPr="00F74F4C" w:rsidRDefault="00585461" w:rsidP="00585461">
      <w:pPr>
        <w:pStyle w:val="ListParagraph"/>
        <w:numPr>
          <w:ilvl w:val="0"/>
          <w:numId w:val="2"/>
        </w:numPr>
      </w:pPr>
      <w:r w:rsidRPr="00F74F4C">
        <w:t xml:space="preserve">Almost all residents in the Huddersfield hub area will be able to reach </w:t>
      </w:r>
      <w:r w:rsidR="00BD4282">
        <w:t>the central site</w:t>
      </w:r>
      <w:r w:rsidRPr="00F74F4C">
        <w:t xml:space="preserve"> in Huddersfield town centre by bus or train</w:t>
      </w:r>
    </w:p>
    <w:p w14:paraId="68C0FF0C" w14:textId="77777777" w:rsidR="00585461" w:rsidRPr="00F74F4C" w:rsidRDefault="00585461" w:rsidP="00585461">
      <w:pPr>
        <w:spacing w:after="120" w:line="240" w:lineRule="auto"/>
        <w:ind w:firstLine="360"/>
        <w:rPr>
          <w:b/>
          <w:sz w:val="28"/>
          <w:szCs w:val="28"/>
        </w:rPr>
      </w:pPr>
      <w:r w:rsidRPr="00F74F4C">
        <w:rPr>
          <w:b/>
          <w:sz w:val="28"/>
          <w:szCs w:val="28"/>
        </w:rPr>
        <w:t>Areas which are less well-served</w:t>
      </w:r>
    </w:p>
    <w:p w14:paraId="679569AE" w14:textId="57250C01" w:rsidR="00814028" w:rsidRPr="00BD4282" w:rsidRDefault="00BD4282" w:rsidP="00DB7393">
      <w:pPr>
        <w:pStyle w:val="ListParagraph"/>
        <w:numPr>
          <w:ilvl w:val="0"/>
          <w:numId w:val="2"/>
        </w:numPr>
      </w:pPr>
      <w:r w:rsidRPr="00BD4282">
        <w:t xml:space="preserve">Residents of </w:t>
      </w:r>
      <w:r w:rsidR="00814028">
        <w:t xml:space="preserve">the rest of the hub area </w:t>
      </w:r>
      <w:r w:rsidRPr="00BD4282">
        <w:t xml:space="preserve">have no local delivery site; public transport to the Chestnut Centre is limited </w:t>
      </w:r>
      <w:r w:rsidR="00DB7393">
        <w:t>and will mostly requite two buses.</w:t>
      </w:r>
    </w:p>
    <w:p w14:paraId="7129A21F" w14:textId="77777777" w:rsidR="00DB7B5D" w:rsidRDefault="00DB7B5D" w:rsidP="00585461">
      <w:pPr>
        <w:spacing w:after="120" w:line="240" w:lineRule="auto"/>
        <w:ind w:firstLine="360"/>
        <w:rPr>
          <w:b/>
          <w:sz w:val="28"/>
          <w:szCs w:val="28"/>
        </w:rPr>
      </w:pPr>
    </w:p>
    <w:p w14:paraId="653D7F89" w14:textId="77777777" w:rsidR="00DB7B5D" w:rsidRDefault="00DB7B5D" w:rsidP="00585461">
      <w:pPr>
        <w:spacing w:after="120" w:line="240" w:lineRule="auto"/>
        <w:ind w:firstLine="360"/>
        <w:rPr>
          <w:b/>
          <w:sz w:val="28"/>
          <w:szCs w:val="28"/>
        </w:rPr>
      </w:pPr>
    </w:p>
    <w:p w14:paraId="1E8FF93F" w14:textId="77777777" w:rsidR="00585461" w:rsidRPr="00F74F4C" w:rsidRDefault="00585461" w:rsidP="00585461">
      <w:pPr>
        <w:spacing w:after="120" w:line="240" w:lineRule="auto"/>
        <w:ind w:firstLine="360"/>
        <w:rPr>
          <w:b/>
          <w:sz w:val="28"/>
          <w:szCs w:val="28"/>
        </w:rPr>
      </w:pPr>
      <w:r w:rsidRPr="00F74F4C">
        <w:rPr>
          <w:b/>
          <w:sz w:val="28"/>
          <w:szCs w:val="28"/>
        </w:rPr>
        <w:t>Proposed mitigation</w:t>
      </w:r>
    </w:p>
    <w:p w14:paraId="1459A128" w14:textId="5DDF8C3E" w:rsidR="00585461" w:rsidRPr="00F74F4C" w:rsidRDefault="00BD4282" w:rsidP="00585461">
      <w:pPr>
        <w:pStyle w:val="ListParagraph"/>
        <w:numPr>
          <w:ilvl w:val="0"/>
          <w:numId w:val="2"/>
        </w:numPr>
      </w:pPr>
      <w:r>
        <w:t>Much delivery will take place in community venues, in the places where it is needed</w:t>
      </w:r>
      <w:r w:rsidRPr="00F74F4C">
        <w:t xml:space="preserve">. </w:t>
      </w:r>
      <w:r w:rsidR="00585461" w:rsidRPr="00F74F4C">
        <w:t xml:space="preserve">Public transport in the Huddersfield area is characterised by a “hub and spoke” model, where bus and train routes link outlying communities with the town centre fairly well, but do not connect communities with each other. Using a town centre location seems to be the most effective mitigation for </w:t>
      </w:r>
      <w:r>
        <w:t>many</w:t>
      </w:r>
      <w:r w:rsidR="00585461" w:rsidRPr="00F74F4C">
        <w:t xml:space="preserve"> residents.</w:t>
      </w:r>
    </w:p>
    <w:p w14:paraId="4D884902" w14:textId="64141A96" w:rsidR="00585461" w:rsidRDefault="00585461" w:rsidP="00585461">
      <w:pPr>
        <w:pStyle w:val="ListParagraph"/>
        <w:numPr>
          <w:ilvl w:val="0"/>
          <w:numId w:val="2"/>
        </w:numPr>
      </w:pPr>
      <w:r w:rsidRPr="00F74F4C">
        <w:t>Home visits may help some residents.</w:t>
      </w:r>
    </w:p>
    <w:p w14:paraId="63538F18" w14:textId="5756667E" w:rsidR="00600C6F" w:rsidRPr="00F74F4C" w:rsidRDefault="00600C6F" w:rsidP="00600C6F">
      <w:pPr>
        <w:pStyle w:val="ListParagraph"/>
        <w:numPr>
          <w:ilvl w:val="0"/>
          <w:numId w:val="2"/>
        </w:numPr>
      </w:pPr>
      <w:r>
        <w:t>In the short term, the Early Help Hub will continue to use some of the existing sites which are surplus to requirements; in the longer term, some of these venues may be taken over by partners or community groups, and may continue to be available to the Early Help hub for delivery.</w:t>
      </w:r>
    </w:p>
    <w:p w14:paraId="0065A487" w14:textId="77777777" w:rsidR="00585461" w:rsidRPr="0065228E" w:rsidRDefault="00585461" w:rsidP="00585461">
      <w:pPr>
        <w:spacing w:before="360" w:line="240" w:lineRule="auto"/>
        <w:rPr>
          <w:b/>
          <w:sz w:val="32"/>
          <w:szCs w:val="32"/>
        </w:rPr>
      </w:pPr>
      <w:r w:rsidRPr="0065228E">
        <w:rPr>
          <w:b/>
          <w:sz w:val="32"/>
          <w:szCs w:val="32"/>
        </w:rPr>
        <w:t>Dewsbury &amp; Mirfield</w:t>
      </w:r>
    </w:p>
    <w:p w14:paraId="56657781" w14:textId="77777777" w:rsidR="00585461" w:rsidRPr="00F74F4C" w:rsidRDefault="00585461" w:rsidP="00585461">
      <w:pPr>
        <w:spacing w:after="120" w:line="240" w:lineRule="auto"/>
        <w:ind w:firstLine="360"/>
        <w:rPr>
          <w:b/>
          <w:sz w:val="28"/>
          <w:szCs w:val="28"/>
        </w:rPr>
      </w:pPr>
      <w:r w:rsidRPr="00F74F4C">
        <w:rPr>
          <w:b/>
          <w:sz w:val="28"/>
          <w:szCs w:val="28"/>
        </w:rPr>
        <w:t>Areas which are well-served</w:t>
      </w:r>
    </w:p>
    <w:p w14:paraId="0DA66D01" w14:textId="1BC41363" w:rsidR="00585461" w:rsidRDefault="00585461" w:rsidP="00585461">
      <w:pPr>
        <w:pStyle w:val="ListParagraph"/>
        <w:numPr>
          <w:ilvl w:val="0"/>
          <w:numId w:val="2"/>
        </w:numPr>
      </w:pPr>
      <w:r w:rsidRPr="00F74F4C">
        <w:t xml:space="preserve">Most residents of the </w:t>
      </w:r>
      <w:r>
        <w:t>Dewsbury Moor</w:t>
      </w:r>
      <w:r w:rsidRPr="00F74F4C">
        <w:t xml:space="preserve"> area will be able to reach </w:t>
      </w:r>
      <w:r>
        <w:t>Dewsbury Moor</w:t>
      </w:r>
      <w:r w:rsidRPr="00F74F4C">
        <w:t xml:space="preserve"> Children’s  Centre either by bus or on foot as well as sites in Dewsbury town centre</w:t>
      </w:r>
    </w:p>
    <w:p w14:paraId="67715AA4" w14:textId="33CA787C" w:rsidR="00006AC2" w:rsidRPr="00F74F4C" w:rsidRDefault="00006AC2" w:rsidP="00006AC2">
      <w:pPr>
        <w:pStyle w:val="ListParagraph"/>
        <w:numPr>
          <w:ilvl w:val="0"/>
          <w:numId w:val="2"/>
        </w:numPr>
      </w:pPr>
      <w:r>
        <w:t xml:space="preserve">Many residents will be able to access </w:t>
      </w:r>
      <w:r w:rsidRPr="00F74F4C">
        <w:t>sites in Dewsbury town centre</w:t>
      </w:r>
    </w:p>
    <w:p w14:paraId="2C990774" w14:textId="77777777" w:rsidR="00585461" w:rsidRPr="00F74F4C" w:rsidRDefault="00585461" w:rsidP="00585461">
      <w:pPr>
        <w:spacing w:after="120" w:line="240" w:lineRule="auto"/>
        <w:ind w:firstLine="360"/>
        <w:rPr>
          <w:b/>
          <w:sz w:val="28"/>
          <w:szCs w:val="28"/>
        </w:rPr>
      </w:pPr>
      <w:r w:rsidRPr="00F74F4C">
        <w:rPr>
          <w:b/>
          <w:sz w:val="28"/>
          <w:szCs w:val="28"/>
        </w:rPr>
        <w:t>Areas which are less well-served</w:t>
      </w:r>
    </w:p>
    <w:p w14:paraId="4FE8A13C" w14:textId="77777777" w:rsidR="00006AC2" w:rsidRPr="00006AC2" w:rsidRDefault="00585461" w:rsidP="00006AC2">
      <w:pPr>
        <w:pStyle w:val="ListParagraph"/>
        <w:numPr>
          <w:ilvl w:val="0"/>
          <w:numId w:val="2"/>
        </w:numPr>
      </w:pPr>
      <w:r w:rsidRPr="00F74F4C">
        <w:t>Most of the rural area in the south of the hub area, as well as the rural areas north-east of Mirfield and east of Thornhill have no local delivery centre and little or no public transport to delivery sites.</w:t>
      </w:r>
    </w:p>
    <w:p w14:paraId="02F3270A" w14:textId="44841572" w:rsidR="00585461" w:rsidRPr="00006AC2" w:rsidRDefault="00585461" w:rsidP="00006AC2">
      <w:pPr>
        <w:spacing w:after="120" w:line="240" w:lineRule="auto"/>
        <w:ind w:firstLine="360"/>
        <w:rPr>
          <w:b/>
          <w:sz w:val="28"/>
          <w:szCs w:val="28"/>
        </w:rPr>
      </w:pPr>
      <w:r w:rsidRPr="00006AC2">
        <w:rPr>
          <w:b/>
          <w:sz w:val="28"/>
          <w:szCs w:val="28"/>
        </w:rPr>
        <w:t>Proposed mitigation</w:t>
      </w:r>
    </w:p>
    <w:p w14:paraId="452D6C32" w14:textId="77777777" w:rsidR="00585461" w:rsidRPr="00F74F4C" w:rsidRDefault="00585461" w:rsidP="00585461">
      <w:pPr>
        <w:pStyle w:val="ListParagraph"/>
        <w:numPr>
          <w:ilvl w:val="0"/>
          <w:numId w:val="2"/>
        </w:numPr>
      </w:pPr>
      <w:r w:rsidRPr="00F74F4C">
        <w:t>Outreach services in community venues. For example, a central location in Mirfield should be accessible for many of the communities mentioned above.</w:t>
      </w:r>
    </w:p>
    <w:p w14:paraId="7A9C9188" w14:textId="77777777" w:rsidR="00585461" w:rsidRPr="00F74F4C" w:rsidRDefault="00585461" w:rsidP="00585461">
      <w:pPr>
        <w:pStyle w:val="ListParagraph"/>
        <w:numPr>
          <w:ilvl w:val="0"/>
          <w:numId w:val="2"/>
        </w:numPr>
      </w:pPr>
      <w:r w:rsidRPr="00F74F4C">
        <w:t>Many residents will be able access activities for young people in and around Dewsbury town centre fairly easily, but the children’s centre offer is mainly located in outlying areas. Delivering part of the children’s centre offer in a community venue in the town centre may therefore help some families who can reach the town centre more easily than outlying areas.</w:t>
      </w:r>
    </w:p>
    <w:p w14:paraId="7B8E0E11" w14:textId="77777777" w:rsidR="00600C6F" w:rsidRDefault="00585461" w:rsidP="00600C6F">
      <w:pPr>
        <w:pStyle w:val="ListParagraph"/>
        <w:numPr>
          <w:ilvl w:val="0"/>
          <w:numId w:val="2"/>
        </w:numPr>
      </w:pPr>
      <w:r w:rsidRPr="00F74F4C">
        <w:t>Home visits may be the best option for some residents in rural areas</w:t>
      </w:r>
      <w:r w:rsidR="00600C6F" w:rsidRPr="00600C6F">
        <w:t xml:space="preserve"> </w:t>
      </w:r>
    </w:p>
    <w:p w14:paraId="72275090" w14:textId="13BE9FFC" w:rsidR="00585461" w:rsidRPr="00F74F4C" w:rsidRDefault="00600C6F" w:rsidP="00600C6F">
      <w:pPr>
        <w:pStyle w:val="ListParagraph"/>
        <w:numPr>
          <w:ilvl w:val="0"/>
          <w:numId w:val="2"/>
        </w:numPr>
      </w:pPr>
      <w:r>
        <w:t>In the short term, the Early Help Hub will continue to use some of the existing sites which are surplus to requirements; in the longer term, some of these venues may be taken over by partners or community groups, and may continue to be available to the Early Help hub for delivery.</w:t>
      </w:r>
    </w:p>
    <w:p w14:paraId="11A1398D" w14:textId="77777777" w:rsidR="00DB7B5D" w:rsidRDefault="00DB7B5D" w:rsidP="00585461">
      <w:pPr>
        <w:spacing w:before="360" w:line="240" w:lineRule="auto"/>
        <w:rPr>
          <w:b/>
          <w:sz w:val="32"/>
          <w:szCs w:val="32"/>
        </w:rPr>
      </w:pPr>
    </w:p>
    <w:p w14:paraId="694A8D5C" w14:textId="77777777" w:rsidR="00585461" w:rsidRPr="0065228E" w:rsidRDefault="00585461" w:rsidP="00585461">
      <w:pPr>
        <w:spacing w:before="360" w:line="240" w:lineRule="auto"/>
        <w:rPr>
          <w:b/>
          <w:sz w:val="32"/>
          <w:szCs w:val="32"/>
        </w:rPr>
      </w:pPr>
      <w:r w:rsidRPr="0065228E">
        <w:rPr>
          <w:b/>
          <w:sz w:val="32"/>
          <w:szCs w:val="32"/>
        </w:rPr>
        <w:t>Kirklees Rural</w:t>
      </w:r>
    </w:p>
    <w:p w14:paraId="6C1DF5BC" w14:textId="77777777" w:rsidR="00585461" w:rsidRPr="00F74F4C" w:rsidRDefault="00585461" w:rsidP="00585461">
      <w:pPr>
        <w:spacing w:after="120" w:line="240" w:lineRule="auto"/>
        <w:ind w:firstLine="360"/>
        <w:rPr>
          <w:b/>
          <w:sz w:val="28"/>
          <w:szCs w:val="28"/>
        </w:rPr>
      </w:pPr>
      <w:r w:rsidRPr="00F74F4C">
        <w:rPr>
          <w:b/>
          <w:sz w:val="28"/>
          <w:szCs w:val="28"/>
        </w:rPr>
        <w:t>Areas which are well-served</w:t>
      </w:r>
    </w:p>
    <w:p w14:paraId="54691C0A" w14:textId="77777777" w:rsidR="00585461" w:rsidRPr="00F74F4C" w:rsidRDefault="00585461" w:rsidP="00585461">
      <w:pPr>
        <w:pStyle w:val="ListParagraph"/>
        <w:numPr>
          <w:ilvl w:val="0"/>
          <w:numId w:val="2"/>
        </w:numPr>
      </w:pPr>
      <w:r w:rsidRPr="00F74F4C">
        <w:t>Residents living fairly centrally in Slaithwaite will be able to walk or catch a bus to access services offered in Slaithwaite Town Hall</w:t>
      </w:r>
    </w:p>
    <w:p w14:paraId="2A58432F" w14:textId="77777777" w:rsidR="00006AC2" w:rsidRPr="00F74F4C" w:rsidRDefault="00585461" w:rsidP="00006AC2">
      <w:pPr>
        <w:pStyle w:val="ListParagraph"/>
        <w:numPr>
          <w:ilvl w:val="0"/>
          <w:numId w:val="2"/>
        </w:numPr>
      </w:pPr>
      <w:r w:rsidRPr="00F74F4C">
        <w:t xml:space="preserve">Colne Valley residents </w:t>
      </w:r>
      <w:r w:rsidR="00006AC2" w:rsidRPr="00F74F4C">
        <w:t>living adjacent to the A62</w:t>
      </w:r>
      <w:r w:rsidR="00006AC2">
        <w:t>, or on bus routes in Cowlersley and Linthwaite,</w:t>
      </w:r>
      <w:r w:rsidR="00006AC2" w:rsidRPr="00F74F4C">
        <w:t xml:space="preserve"> will be able to catch a bus to Manchester Road, Slaithwaite, with a 5 - 10 minute walk to Slaithwaite Town Hall</w:t>
      </w:r>
    </w:p>
    <w:p w14:paraId="57702597" w14:textId="453123F0" w:rsidR="00585461" w:rsidRPr="00F74F4C" w:rsidRDefault="00585461" w:rsidP="00585461">
      <w:pPr>
        <w:pStyle w:val="ListParagraph"/>
        <w:numPr>
          <w:ilvl w:val="0"/>
          <w:numId w:val="2"/>
        </w:numPr>
      </w:pPr>
      <w:r w:rsidRPr="00F74F4C">
        <w:t xml:space="preserve">Most residents of </w:t>
      </w:r>
      <w:r w:rsidR="00006AC2" w:rsidRPr="00F74F4C">
        <w:t>Milnsbridge, Golcar, Wellhouse</w:t>
      </w:r>
      <w:r w:rsidR="00006AC2">
        <w:t>, Longwood and</w:t>
      </w:r>
      <w:r w:rsidR="00006AC2" w:rsidRPr="00F74F4C">
        <w:t xml:space="preserve"> Wilberlee </w:t>
      </w:r>
      <w:r w:rsidR="00DB7B5D">
        <w:t>can</w:t>
      </w:r>
      <w:r w:rsidRPr="00F74F4C">
        <w:t xml:space="preserve"> catch a limited bus service at certain times to Slaithwaite Town Hall</w:t>
      </w:r>
    </w:p>
    <w:p w14:paraId="045EF3A4" w14:textId="77777777" w:rsidR="00585461" w:rsidRPr="00F74F4C" w:rsidRDefault="00585461" w:rsidP="00585461">
      <w:pPr>
        <w:pStyle w:val="ListParagraph"/>
        <w:numPr>
          <w:ilvl w:val="0"/>
          <w:numId w:val="2"/>
        </w:numPr>
      </w:pPr>
      <w:r w:rsidRPr="00F74F4C">
        <w:t>Residents of Meltham and central Holmfirth, and those living adjacent to Wilshaw Road (running between Meltham and Holmfirth) will be able to catch a limited bus service at certain times to Slaithwaite Town Hall</w:t>
      </w:r>
    </w:p>
    <w:p w14:paraId="49B58FA1" w14:textId="77777777" w:rsidR="00585461" w:rsidRPr="00F74F4C" w:rsidRDefault="00585461" w:rsidP="00585461">
      <w:pPr>
        <w:spacing w:after="120" w:line="240" w:lineRule="auto"/>
        <w:ind w:firstLine="360"/>
        <w:rPr>
          <w:b/>
          <w:sz w:val="28"/>
          <w:szCs w:val="28"/>
        </w:rPr>
      </w:pPr>
      <w:r w:rsidRPr="00F74F4C">
        <w:rPr>
          <w:b/>
          <w:sz w:val="28"/>
          <w:szCs w:val="28"/>
        </w:rPr>
        <w:t>Areas which are less well-served</w:t>
      </w:r>
    </w:p>
    <w:p w14:paraId="5553DE0A" w14:textId="456D5903" w:rsidR="00585461" w:rsidRPr="00F74F4C" w:rsidRDefault="00585461" w:rsidP="00585461">
      <w:pPr>
        <w:pStyle w:val="ListParagraph"/>
        <w:numPr>
          <w:ilvl w:val="0"/>
          <w:numId w:val="2"/>
        </w:numPr>
      </w:pPr>
      <w:r w:rsidRPr="00F74F4C">
        <w:t>The following area</w:t>
      </w:r>
      <w:r w:rsidR="00035060">
        <w:t>s</w:t>
      </w:r>
      <w:r w:rsidRPr="00F74F4C">
        <w:t xml:space="preserve"> have no local delivery centre and little or no public transport to delivery sites: Scapegoat Hill, Outlane and Bolster Moor ; the rural area around Marsden Moor &amp; Scammonden, Meltham Moor and Butterley &amp; Wessenden; the Honley and Brockholes area, outlying parts of Holmfirth, </w:t>
      </w:r>
      <w:r w:rsidR="00006AC2">
        <w:t xml:space="preserve">South </w:t>
      </w:r>
      <w:r w:rsidRPr="00F74F4C">
        <w:t xml:space="preserve">Crosland, Blackmoorfoot and the whole of Denby Dale and Kirkburton wards. </w:t>
      </w:r>
    </w:p>
    <w:p w14:paraId="0D7A1B93" w14:textId="77777777" w:rsidR="00585461" w:rsidRPr="00F74F4C" w:rsidRDefault="00585461" w:rsidP="00585461">
      <w:pPr>
        <w:spacing w:after="120" w:line="240" w:lineRule="auto"/>
        <w:ind w:firstLine="360"/>
        <w:rPr>
          <w:b/>
          <w:sz w:val="28"/>
          <w:szCs w:val="28"/>
        </w:rPr>
      </w:pPr>
      <w:r w:rsidRPr="00F74F4C">
        <w:rPr>
          <w:b/>
          <w:sz w:val="28"/>
          <w:szCs w:val="28"/>
        </w:rPr>
        <w:t>Proposed mitigation</w:t>
      </w:r>
    </w:p>
    <w:p w14:paraId="20808622" w14:textId="6DC4A173" w:rsidR="00585461" w:rsidRPr="00F74F4C" w:rsidRDefault="00585461" w:rsidP="00585461">
      <w:pPr>
        <w:pStyle w:val="ListParagraph"/>
        <w:numPr>
          <w:ilvl w:val="0"/>
          <w:numId w:val="2"/>
        </w:numPr>
      </w:pPr>
      <w:r w:rsidRPr="00F74F4C">
        <w:t xml:space="preserve">Families in some of these areas will be able to access sites in Huddersfield town centre more readily than Slaithwaite or even other local venues; rural residents </w:t>
      </w:r>
      <w:r w:rsidR="00035060">
        <w:t xml:space="preserve">will be able </w:t>
      </w:r>
      <w:r w:rsidRPr="00F74F4C">
        <w:t xml:space="preserve">to use </w:t>
      </w:r>
      <w:r w:rsidR="00035060">
        <w:t>the central site</w:t>
      </w:r>
      <w:r w:rsidRPr="00F74F4C">
        <w:t xml:space="preserve"> in the Huddersfield hub area. </w:t>
      </w:r>
    </w:p>
    <w:p w14:paraId="7DA694DF" w14:textId="77777777" w:rsidR="00585461" w:rsidRPr="00F74F4C" w:rsidRDefault="00585461" w:rsidP="00585461">
      <w:pPr>
        <w:pStyle w:val="ListParagraph"/>
        <w:numPr>
          <w:ilvl w:val="0"/>
          <w:numId w:val="2"/>
        </w:numPr>
      </w:pPr>
      <w:r w:rsidRPr="00F74F4C">
        <w:t>Home visits may be the best option for some residents in rural areas</w:t>
      </w:r>
    </w:p>
    <w:p w14:paraId="7AAA3CFF" w14:textId="77777777" w:rsidR="00585461" w:rsidRDefault="00585461" w:rsidP="00585461">
      <w:pPr>
        <w:pStyle w:val="ListParagraph"/>
        <w:numPr>
          <w:ilvl w:val="0"/>
          <w:numId w:val="2"/>
        </w:numPr>
      </w:pPr>
      <w:r w:rsidRPr="00F74F4C">
        <w:t xml:space="preserve">Outreach services in community venues, especially in the Holme Valley. Holmfirth has a “hub and spoke” model of bus routes, so a central location in Holmfirth should be accessible for most residents of the Holme Valley. </w:t>
      </w:r>
    </w:p>
    <w:p w14:paraId="130C500E" w14:textId="342773F0" w:rsidR="00600C6F" w:rsidRPr="00F74F4C" w:rsidRDefault="00600C6F" w:rsidP="00600C6F">
      <w:pPr>
        <w:pStyle w:val="ListParagraph"/>
        <w:numPr>
          <w:ilvl w:val="0"/>
          <w:numId w:val="2"/>
        </w:numPr>
      </w:pPr>
      <w:r>
        <w:t>In the short term, the Early Help Hub will continue to use some of the existing sites which are surplus to requirements; in the longer term, some of these venues may be taken over by partners or community groups, and may continue to be available to the Early Help hub for delivery.</w:t>
      </w:r>
    </w:p>
    <w:p w14:paraId="308FCA2D" w14:textId="77777777" w:rsidR="0065228E" w:rsidRPr="004258F0" w:rsidRDefault="0065228E" w:rsidP="0065228E">
      <w:pPr>
        <w:rPr>
          <w:b/>
          <w:sz w:val="32"/>
          <w:szCs w:val="32"/>
        </w:rPr>
      </w:pPr>
      <w:r w:rsidRPr="004258F0">
        <w:rPr>
          <w:b/>
          <w:sz w:val="32"/>
          <w:szCs w:val="32"/>
        </w:rPr>
        <w:t>Costs of public transport</w:t>
      </w:r>
    </w:p>
    <w:p w14:paraId="25442463" w14:textId="1EFFBFE5" w:rsidR="00DE18BC" w:rsidRPr="00DE18BC" w:rsidRDefault="0065228E" w:rsidP="00DE18BC">
      <w:pPr>
        <w:rPr>
          <w:b/>
          <w:sz w:val="32"/>
          <w:szCs w:val="32"/>
        </w:rPr>
      </w:pPr>
      <w:r w:rsidRPr="00F74F4C">
        <w:t xml:space="preserve">The reduction in the number of delivery sites will inevitable mean that many families attending sessions will need to travel further. There is a potential cost impact on these families of additional travel by public transport. It is difficult to model this exactly due to the complexity of fare structures. However, for illustration, First </w:t>
      </w:r>
      <w:r w:rsidRPr="00F74F4C">
        <w:lastRenderedPageBreak/>
        <w:t>Group and Arriva currently (November 2016) have day tickets valid across West Yorkshire at £4.80 for an adult, £2.40 for a child. Single adult tickets for a short journey start at around £1.30.</w:t>
      </w:r>
    </w:p>
    <w:sectPr w:rsidR="00DE18BC" w:rsidRPr="00DE18BC" w:rsidSect="00BB1E57">
      <w:footerReference w:type="default" r:id="rId12"/>
      <w:pgSz w:w="16840" w:h="11907" w:orient="landscape" w:code="9"/>
      <w:pgMar w:top="1134" w:right="1134" w:bottom="1077"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6C67C" w14:textId="77777777" w:rsidR="00B628A1" w:rsidRDefault="00B628A1" w:rsidP="00125E81">
      <w:pPr>
        <w:spacing w:after="0" w:line="240" w:lineRule="auto"/>
      </w:pPr>
      <w:r>
        <w:separator/>
      </w:r>
    </w:p>
  </w:endnote>
  <w:endnote w:type="continuationSeparator" w:id="0">
    <w:p w14:paraId="16D6C67D" w14:textId="77777777" w:rsidR="00B628A1" w:rsidRDefault="00B628A1" w:rsidP="0012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412890"/>
      <w:docPartObj>
        <w:docPartGallery w:val="Page Numbers (Bottom of Page)"/>
        <w:docPartUnique/>
      </w:docPartObj>
    </w:sdtPr>
    <w:sdtEndPr/>
    <w:sdtContent>
      <w:sdt>
        <w:sdtPr>
          <w:id w:val="-1669238322"/>
          <w:docPartObj>
            <w:docPartGallery w:val="Page Numbers (Top of Page)"/>
            <w:docPartUnique/>
          </w:docPartObj>
        </w:sdtPr>
        <w:sdtEndPr/>
        <w:sdtContent>
          <w:p w14:paraId="16D6C67E" w14:textId="77777777" w:rsidR="00B628A1" w:rsidRPr="005B491E" w:rsidRDefault="00B628A1">
            <w:pPr>
              <w:pStyle w:val="Footer"/>
              <w:jc w:val="center"/>
            </w:pPr>
            <w:r w:rsidRPr="005B491E">
              <w:t xml:space="preserve">Page </w:t>
            </w:r>
            <w:r w:rsidRPr="005B491E">
              <w:rPr>
                <w:bCs/>
              </w:rPr>
              <w:fldChar w:fldCharType="begin"/>
            </w:r>
            <w:r w:rsidRPr="005B491E">
              <w:rPr>
                <w:bCs/>
              </w:rPr>
              <w:instrText xml:space="preserve"> PAGE </w:instrText>
            </w:r>
            <w:r w:rsidRPr="005B491E">
              <w:rPr>
                <w:bCs/>
              </w:rPr>
              <w:fldChar w:fldCharType="separate"/>
            </w:r>
            <w:r w:rsidR="001A5B9C">
              <w:rPr>
                <w:bCs/>
                <w:noProof/>
              </w:rPr>
              <w:t>3</w:t>
            </w:r>
            <w:r w:rsidRPr="005B491E">
              <w:rPr>
                <w:bCs/>
              </w:rPr>
              <w:fldChar w:fldCharType="end"/>
            </w:r>
            <w:r w:rsidRPr="005B491E">
              <w:t xml:space="preserve"> of </w:t>
            </w:r>
            <w:r w:rsidRPr="005B491E">
              <w:rPr>
                <w:bCs/>
              </w:rPr>
              <w:fldChar w:fldCharType="begin"/>
            </w:r>
            <w:r w:rsidRPr="005B491E">
              <w:rPr>
                <w:bCs/>
              </w:rPr>
              <w:instrText xml:space="preserve"> NUMPAGES  </w:instrText>
            </w:r>
            <w:r w:rsidRPr="005B491E">
              <w:rPr>
                <w:bCs/>
              </w:rPr>
              <w:fldChar w:fldCharType="separate"/>
            </w:r>
            <w:r w:rsidR="001A5B9C">
              <w:rPr>
                <w:bCs/>
                <w:noProof/>
              </w:rPr>
              <w:t>15</w:t>
            </w:r>
            <w:r w:rsidRPr="005B491E">
              <w:rPr>
                <w:bCs/>
              </w:rPr>
              <w:fldChar w:fldCharType="end"/>
            </w:r>
          </w:p>
        </w:sdtContent>
      </w:sdt>
    </w:sdtContent>
  </w:sdt>
  <w:p w14:paraId="16D6C67F" w14:textId="77777777" w:rsidR="00B628A1" w:rsidRDefault="00B6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C67A" w14:textId="77777777" w:rsidR="00B628A1" w:rsidRDefault="00B628A1" w:rsidP="00125E81">
      <w:pPr>
        <w:spacing w:after="0" w:line="240" w:lineRule="auto"/>
      </w:pPr>
      <w:r>
        <w:separator/>
      </w:r>
    </w:p>
  </w:footnote>
  <w:footnote w:type="continuationSeparator" w:id="0">
    <w:p w14:paraId="16D6C67B" w14:textId="77777777" w:rsidR="00B628A1" w:rsidRDefault="00B628A1" w:rsidP="00125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6B8F"/>
    <w:multiLevelType w:val="hybridMultilevel"/>
    <w:tmpl w:val="351A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E7036"/>
    <w:multiLevelType w:val="hybridMultilevel"/>
    <w:tmpl w:val="1C26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81"/>
    <w:rsid w:val="00006AC2"/>
    <w:rsid w:val="000266FE"/>
    <w:rsid w:val="00035060"/>
    <w:rsid w:val="00061550"/>
    <w:rsid w:val="00071D8E"/>
    <w:rsid w:val="00074184"/>
    <w:rsid w:val="00076BA8"/>
    <w:rsid w:val="00094FF4"/>
    <w:rsid w:val="00095697"/>
    <w:rsid w:val="000B7062"/>
    <w:rsid w:val="000D6469"/>
    <w:rsid w:val="000F51AC"/>
    <w:rsid w:val="00101D67"/>
    <w:rsid w:val="00115E01"/>
    <w:rsid w:val="00125E81"/>
    <w:rsid w:val="00133304"/>
    <w:rsid w:val="00152D9D"/>
    <w:rsid w:val="00157DDB"/>
    <w:rsid w:val="00164512"/>
    <w:rsid w:val="001716BC"/>
    <w:rsid w:val="00181398"/>
    <w:rsid w:val="00184AB3"/>
    <w:rsid w:val="001A5B9C"/>
    <w:rsid w:val="001C7E8F"/>
    <w:rsid w:val="00214C3E"/>
    <w:rsid w:val="00216064"/>
    <w:rsid w:val="0023055D"/>
    <w:rsid w:val="00263523"/>
    <w:rsid w:val="00270C3E"/>
    <w:rsid w:val="00285E7E"/>
    <w:rsid w:val="002C1E4B"/>
    <w:rsid w:val="00307C3E"/>
    <w:rsid w:val="00311551"/>
    <w:rsid w:val="00311A1B"/>
    <w:rsid w:val="003500ED"/>
    <w:rsid w:val="0038406C"/>
    <w:rsid w:val="003A114D"/>
    <w:rsid w:val="003B6D76"/>
    <w:rsid w:val="003D1EBD"/>
    <w:rsid w:val="003F15EC"/>
    <w:rsid w:val="004170E8"/>
    <w:rsid w:val="004258F0"/>
    <w:rsid w:val="004345BC"/>
    <w:rsid w:val="00434E6E"/>
    <w:rsid w:val="00435258"/>
    <w:rsid w:val="00451EE6"/>
    <w:rsid w:val="004922D0"/>
    <w:rsid w:val="004E6E1D"/>
    <w:rsid w:val="0051185E"/>
    <w:rsid w:val="00521617"/>
    <w:rsid w:val="00523CB9"/>
    <w:rsid w:val="0053377D"/>
    <w:rsid w:val="00545B26"/>
    <w:rsid w:val="00565ED2"/>
    <w:rsid w:val="00567129"/>
    <w:rsid w:val="00585461"/>
    <w:rsid w:val="005A1B2F"/>
    <w:rsid w:val="005B491E"/>
    <w:rsid w:val="005C706D"/>
    <w:rsid w:val="005E37C9"/>
    <w:rsid w:val="00600C6F"/>
    <w:rsid w:val="00600EA8"/>
    <w:rsid w:val="00610382"/>
    <w:rsid w:val="006110AB"/>
    <w:rsid w:val="00636295"/>
    <w:rsid w:val="00645299"/>
    <w:rsid w:val="00645A55"/>
    <w:rsid w:val="0065228E"/>
    <w:rsid w:val="00670D4C"/>
    <w:rsid w:val="006A30B0"/>
    <w:rsid w:val="006B66F2"/>
    <w:rsid w:val="006B6EA9"/>
    <w:rsid w:val="006D05A6"/>
    <w:rsid w:val="006D4FF7"/>
    <w:rsid w:val="0072184A"/>
    <w:rsid w:val="00723CFD"/>
    <w:rsid w:val="00727900"/>
    <w:rsid w:val="00727E65"/>
    <w:rsid w:val="00753E48"/>
    <w:rsid w:val="007A6952"/>
    <w:rsid w:val="007F2EA6"/>
    <w:rsid w:val="00807908"/>
    <w:rsid w:val="00811923"/>
    <w:rsid w:val="00814028"/>
    <w:rsid w:val="00832F27"/>
    <w:rsid w:val="00852128"/>
    <w:rsid w:val="008566CC"/>
    <w:rsid w:val="00866D1E"/>
    <w:rsid w:val="00886D28"/>
    <w:rsid w:val="008B4C16"/>
    <w:rsid w:val="008C0246"/>
    <w:rsid w:val="008C2F88"/>
    <w:rsid w:val="008D55DA"/>
    <w:rsid w:val="008E7F2B"/>
    <w:rsid w:val="008F65A0"/>
    <w:rsid w:val="00916F73"/>
    <w:rsid w:val="00953D5F"/>
    <w:rsid w:val="00954BCF"/>
    <w:rsid w:val="00964EB7"/>
    <w:rsid w:val="009737AE"/>
    <w:rsid w:val="009971E7"/>
    <w:rsid w:val="009C6042"/>
    <w:rsid w:val="009E0B42"/>
    <w:rsid w:val="009F300D"/>
    <w:rsid w:val="00A06D0F"/>
    <w:rsid w:val="00A16CFB"/>
    <w:rsid w:val="00A74A83"/>
    <w:rsid w:val="00A812F8"/>
    <w:rsid w:val="00AD4E43"/>
    <w:rsid w:val="00AE0D0F"/>
    <w:rsid w:val="00B00482"/>
    <w:rsid w:val="00B16E39"/>
    <w:rsid w:val="00B26084"/>
    <w:rsid w:val="00B628A1"/>
    <w:rsid w:val="00B75529"/>
    <w:rsid w:val="00BB1E57"/>
    <w:rsid w:val="00BB2C2E"/>
    <w:rsid w:val="00BD4282"/>
    <w:rsid w:val="00BF0130"/>
    <w:rsid w:val="00C03B0C"/>
    <w:rsid w:val="00C0506B"/>
    <w:rsid w:val="00C24773"/>
    <w:rsid w:val="00C341FC"/>
    <w:rsid w:val="00C5575D"/>
    <w:rsid w:val="00C7463C"/>
    <w:rsid w:val="00C75FB0"/>
    <w:rsid w:val="00CD5B1A"/>
    <w:rsid w:val="00CE165F"/>
    <w:rsid w:val="00CE2DB8"/>
    <w:rsid w:val="00D029E2"/>
    <w:rsid w:val="00D143A6"/>
    <w:rsid w:val="00D26063"/>
    <w:rsid w:val="00D56CAB"/>
    <w:rsid w:val="00D74292"/>
    <w:rsid w:val="00D74A63"/>
    <w:rsid w:val="00D91145"/>
    <w:rsid w:val="00DB3D6E"/>
    <w:rsid w:val="00DB7393"/>
    <w:rsid w:val="00DB7B5D"/>
    <w:rsid w:val="00DC4636"/>
    <w:rsid w:val="00DC74B7"/>
    <w:rsid w:val="00DE18BC"/>
    <w:rsid w:val="00E025FD"/>
    <w:rsid w:val="00E108D1"/>
    <w:rsid w:val="00E11D24"/>
    <w:rsid w:val="00E22C70"/>
    <w:rsid w:val="00E31BEE"/>
    <w:rsid w:val="00E3511A"/>
    <w:rsid w:val="00E3657A"/>
    <w:rsid w:val="00E8316C"/>
    <w:rsid w:val="00E91D8E"/>
    <w:rsid w:val="00EB1B28"/>
    <w:rsid w:val="00EB6685"/>
    <w:rsid w:val="00EB7023"/>
    <w:rsid w:val="00EF244B"/>
    <w:rsid w:val="00F04FB4"/>
    <w:rsid w:val="00F17DD6"/>
    <w:rsid w:val="00F2056E"/>
    <w:rsid w:val="00F4736C"/>
    <w:rsid w:val="00F56844"/>
    <w:rsid w:val="00F74F4C"/>
    <w:rsid w:val="00F840BC"/>
    <w:rsid w:val="00F97269"/>
    <w:rsid w:val="00FF22E3"/>
    <w:rsid w:val="00FF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81"/>
  </w:style>
  <w:style w:type="paragraph" w:styleId="Footer">
    <w:name w:val="footer"/>
    <w:basedOn w:val="Normal"/>
    <w:link w:val="FooterChar"/>
    <w:uiPriority w:val="99"/>
    <w:unhideWhenUsed/>
    <w:rsid w:val="0012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81"/>
  </w:style>
  <w:style w:type="paragraph" w:styleId="BalloonText">
    <w:name w:val="Balloon Text"/>
    <w:basedOn w:val="Normal"/>
    <w:link w:val="BalloonTextChar"/>
    <w:uiPriority w:val="99"/>
    <w:semiHidden/>
    <w:unhideWhenUsed/>
    <w:rsid w:val="00C5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5D"/>
    <w:rPr>
      <w:rFonts w:ascii="Tahoma" w:hAnsi="Tahoma" w:cs="Tahoma"/>
      <w:sz w:val="16"/>
      <w:szCs w:val="16"/>
    </w:rPr>
  </w:style>
  <w:style w:type="paragraph" w:styleId="ListParagraph">
    <w:name w:val="List Paragraph"/>
    <w:basedOn w:val="Normal"/>
    <w:uiPriority w:val="34"/>
    <w:qFormat/>
    <w:rsid w:val="00F74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E81"/>
  </w:style>
  <w:style w:type="paragraph" w:styleId="Footer">
    <w:name w:val="footer"/>
    <w:basedOn w:val="Normal"/>
    <w:link w:val="FooterChar"/>
    <w:uiPriority w:val="99"/>
    <w:unhideWhenUsed/>
    <w:rsid w:val="00125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E81"/>
  </w:style>
  <w:style w:type="paragraph" w:styleId="BalloonText">
    <w:name w:val="Balloon Text"/>
    <w:basedOn w:val="Normal"/>
    <w:link w:val="BalloonTextChar"/>
    <w:uiPriority w:val="99"/>
    <w:semiHidden/>
    <w:unhideWhenUsed/>
    <w:rsid w:val="00C55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5D"/>
    <w:rPr>
      <w:rFonts w:ascii="Tahoma" w:hAnsi="Tahoma" w:cs="Tahoma"/>
      <w:sz w:val="16"/>
      <w:szCs w:val="16"/>
    </w:rPr>
  </w:style>
  <w:style w:type="paragraph" w:styleId="ListParagraph">
    <w:name w:val="List Paragraph"/>
    <w:basedOn w:val="Normal"/>
    <w:uiPriority w:val="34"/>
    <w:qFormat/>
    <w:rsid w:val="00F74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FFFDFA2FBCC4A8B55F6306FFA9BB6" ma:contentTypeVersion="0" ma:contentTypeDescription="Create a new document." ma:contentTypeScope="" ma:versionID="bad740e353cc5dbb494c36dbf0ca277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451E-F2D0-4CDC-9823-1D2C8D98E019}">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E5F5894-C4F4-45E2-93E1-3A8A663ACFC6}">
  <ds:schemaRefs>
    <ds:schemaRef ds:uri="http://schemas.microsoft.com/sharepoint/v3/contenttype/forms"/>
  </ds:schemaRefs>
</ds:datastoreItem>
</file>

<file path=customXml/itemProps3.xml><?xml version="1.0" encoding="utf-8"?>
<ds:datastoreItem xmlns:ds="http://schemas.openxmlformats.org/officeDocument/2006/customXml" ds:itemID="{21461119-2C44-4431-A27D-FE718E5A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175105-C7A9-48AA-9F8A-17B6E58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2016-12-22T10:01:00Z</cp:lastPrinted>
  <dcterms:created xsi:type="dcterms:W3CDTF">2017-01-04T11:02:00Z</dcterms:created>
  <dcterms:modified xsi:type="dcterms:W3CDTF">2017-01-04T11:20:00Z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0x010100D13FFFDFA2FBCC4A8B55F6306FFA9BB6</vt:lpwstr>
  </property>
</Properties>
</file>